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spacing w:before="0" w:after="80" w:line="264" w:lineRule="auto"/>
      </w:pPr>
      <w:r>
        <w:rPr>
          <w:rFonts w:ascii="Calibri" w:hAnsi="Calibri" w:eastAsia="PingFang SC"/>
          <w:b/>
          <w:i w:val="0"/>
          <w:color w:val="2E74B5"/>
          <w:sz w:val="20"/>
        </w:rPr>
        <w:t>方案整理 / 会议材料结构化</w:t>
      </w:r>
    </w:p>
    <w:p>
      <w:pPr>
        <w:spacing w:before="0" w:after="160" w:line="264" w:lineRule="auto"/>
      </w:pPr>
      <w:r>
        <w:rPr>
          <w:rFonts w:ascii="Calibri" w:hAnsi="Calibri" w:eastAsia="PingFang SC"/>
          <w:b/>
          <w:color w:val="12223E"/>
          <w:sz w:val="50"/>
        </w:rPr>
        <w:t>AI 内容增长系统与专项增长产品整理文档</w:t>
      </w:r>
    </w:p>
    <w:p>
      <w:pPr>
        <w:spacing w:before="0" w:after="320" w:line="283" w:lineRule="auto"/>
      </w:pPr>
      <w:r>
        <w:rPr>
          <w:rFonts w:ascii="Calibri" w:hAnsi="Calibri" w:eastAsia="PingFang SC"/>
          <w:b w:val="0"/>
          <w:i w:val="0"/>
          <w:color w:val="464F60"/>
          <w:sz w:val="25"/>
        </w:rPr>
        <w:t>围绕跨境内容电商的真实增长流程，整理 Multi Agent 内容增长系统、数据飞轮、案例验证、分层交付和专项产品。</w:t>
      </w:r>
    </w:p>
    <w:tbl>
      <w:tblPr>
        <w:tblStyle w:val="TableGrid"/>
        <w:tblW w:type="dxa" w:w="9360"/>
        <w:jc w:val="left"/>
        <w:tblLayout w:type="fixed"/>
        <w:tblLook w:firstColumn="1" w:firstRow="1" w:lastColumn="0" w:lastRow="0" w:noHBand="0" w:noVBand="1" w:val="04A0"/>
        <w:tblInd w:type="dxa" w:w="120"/>
      </w:tblPr>
      <w:tblGrid>
        <w:gridCol w:w="2700"/>
        <w:gridCol w:w="6660"/>
      </w:tblGrid>
      <w:tr>
        <w:tc>
          <w:tcPr>
            <w:tcW w:type="dxa" w:w="270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  <w:shd w:fill="F2F4F7"/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/>
                <w:color w:val="12223E"/>
                <w:sz w:val="20"/>
              </w:rPr>
              <w:t>资料来源</w:t>
            </w:r>
          </w:p>
        </w:tc>
        <w:tc>
          <w:tcPr>
            <w:tcW w:type="dxa" w:w="666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20"/>
              </w:rPr>
              <w:t>2026 年 7 月 2 日线上共享材料截图，共 11 页。</w:t>
            </w:r>
          </w:p>
        </w:tc>
      </w:tr>
      <w:tr>
        <w:tc>
          <w:tcPr>
            <w:tcW w:type="dxa" w:w="270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  <w:shd w:fill="F2F4F7"/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/>
                <w:color w:val="12223E"/>
                <w:sz w:val="20"/>
              </w:rPr>
              <w:t>整理目标</w:t>
            </w:r>
          </w:p>
        </w:tc>
        <w:tc>
          <w:tcPr>
            <w:tcW w:type="dxa" w:w="666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20"/>
              </w:rPr>
              <w:t>把分散截图整理为可阅读、可复盘、可转述的正式说明文档，并保留每页原图作为证据。</w:t>
            </w:r>
          </w:p>
        </w:tc>
      </w:tr>
      <w:tr>
        <w:tc>
          <w:tcPr>
            <w:tcW w:type="dxa" w:w="270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  <w:shd w:fill="F2F4F7"/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/>
                <w:color w:val="12223E"/>
                <w:sz w:val="20"/>
              </w:rPr>
              <w:t>适用读者</w:t>
            </w:r>
          </w:p>
        </w:tc>
        <w:tc>
          <w:tcPr>
            <w:tcW w:type="dxa" w:w="666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20"/>
              </w:rPr>
              <w:t>品牌方、跨境电商内容负责人、TikTok Shop / DTC 增长团队、服务商销售与交付团队。</w:t>
            </w:r>
          </w:p>
        </w:tc>
      </w:tr>
      <w:tr>
        <w:tc>
          <w:tcPr>
            <w:tcW w:type="dxa" w:w="270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  <w:shd w:fill="F2F4F7"/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/>
                <w:color w:val="12223E"/>
                <w:sz w:val="20"/>
              </w:rPr>
              <w:t>核心结论</w:t>
            </w:r>
          </w:p>
        </w:tc>
        <w:tc>
          <w:tcPr>
            <w:tcW w:type="dxa" w:w="666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20"/>
              </w:rPr>
              <w:t>清奈的价值不是“一次性生成更多视频”，而是把专家经验、AI 生产、真实市场测试和数据复盘闭环起来，让内容越做越准，并沉淀为内容资产和账号资产。</w:t>
            </w:r>
          </w:p>
        </w:tc>
      </w:tr>
    </w:tbl>
    <w:p>
      <w:pPr>
        <w:spacing w:before="0" w:after="80" w:line="264" w:lineRule="auto"/>
      </w:pPr>
    </w:p>
    <w:tbl>
      <w:tblPr>
        <w:tblStyle w:val="TableGrid"/>
        <w:tblW w:type="dxa" w:w="9360"/>
        <w:jc w:val="left"/>
        <w:tblLayout w:type="fixed"/>
        <w:tblLook w:firstColumn="1" w:firstRow="1" w:lastColumn="0" w:lastRow="0" w:noHBand="0" w:noVBand="1" w:val="04A0"/>
        <w:tblInd w:type="dxa" w:w="120"/>
      </w:tblPr>
      <w:tblGrid>
        <w:gridCol w:w="9360"/>
      </w:tblGrid>
      <w:tr>
        <w:tc>
          <w:tcPr>
            <w:tcW w:type="dxa" w:w="936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  <w:shd w:fill="FFF4D6"/>
          </w:tcPr>
          <w:p>
            <w:pPr>
              <w:spacing w:before="40" w:after="60"/>
            </w:pPr>
            <w:r/>
            <w:r>
              <w:rPr>
                <w:rFonts w:ascii="Calibri" w:hAnsi="Calibri" w:eastAsia="PingFang SC"/>
                <w:b/>
                <w:color w:val="12223E"/>
                <w:sz w:val="21"/>
              </w:rPr>
              <w:t>一句话总览</w:t>
            </w:r>
          </w:p>
          <w:p>
            <w:pPr>
              <w:spacing w:after="40" w:line="274" w:lineRule="auto"/>
            </w:pPr>
            <w:r>
              <w:rPr>
                <w:rFonts w:ascii="Calibri" w:hAnsi="Calibri" w:eastAsia="PingFang SC"/>
                <w:color w:val="464F60"/>
                <w:sz w:val="21"/>
              </w:rPr>
              <w:t>这套方案把内容增长拆成“产能、验证、复盘、资产化”四件事：先用 AI 提升多版本内容产能，再用真实市场数据判断有效心智、场景和脚本结构，最后把可复用的脚本、提示词、素材和账号矩阵沉淀下来。</w:t>
            </w:r>
          </w:p>
        </w:tc>
      </w:tr>
    </w:tbl>
    <w:p>
      <w:pPr>
        <w:spacing w:before="0" w:after="120" w:line="264" w:lineRule="auto"/>
      </w:pPr>
    </w:p>
    <w:p>
      <w:pPr>
        <w:pStyle w:val="Heading2"/>
        <w:keepNext/>
        <w:spacing w:before="240" w:after="120"/>
      </w:pPr>
      <w:r>
        <w:rPr>
          <w:rFonts w:ascii="Calibri" w:hAnsi="Calibri" w:eastAsia="PingFang SC"/>
          <w:b/>
          <w:color w:val="2E74B5"/>
          <w:sz w:val="26"/>
        </w:rPr>
        <w:t>阅读路径</w:t>
      </w:r>
    </w:p>
    <w:p>
      <w:pPr>
        <w:pStyle w:val="ListBullet"/>
        <w:spacing w:after="160" w:line="280" w:lineRule="auto"/>
        <w:ind w:left="720" w:hanging="360"/>
      </w:pPr>
      <w:r>
        <w:rPr>
          <w:rFonts w:ascii="Calibri" w:hAnsi="Calibri" w:eastAsia="PingFang SC"/>
          <w:color w:val="464F60"/>
          <w:sz w:val="22"/>
        </w:rPr>
        <w:t>先看系统框架：理解 9 步 Multi Agent 链路和数据飞轮为什么能越转越准。</w:t>
      </w:r>
    </w:p>
    <w:p>
      <w:pPr>
        <w:pStyle w:val="ListBullet"/>
        <w:spacing w:after="160" w:line="280" w:lineRule="auto"/>
        <w:ind w:left="720" w:hanging="360"/>
      </w:pPr>
      <w:r>
        <w:rPr>
          <w:rFonts w:ascii="Calibri" w:hAnsi="Calibri" w:eastAsia="PingFang SC"/>
          <w:color w:val="464F60"/>
          <w:sz w:val="22"/>
        </w:rPr>
        <w:t>再看案例：从爆款脚本、老品复燃、热点冷启动、数据迭代、场景测试到账号资产，逐一对应不同增长问题。</w:t>
      </w:r>
    </w:p>
    <w:p>
      <w:pPr>
        <w:pStyle w:val="ListBullet"/>
        <w:spacing w:after="160" w:line="280" w:lineRule="auto"/>
        <w:ind w:left="720" w:hanging="360"/>
      </w:pPr>
      <w:r>
        <w:rPr>
          <w:rFonts w:ascii="Calibri" w:hAnsi="Calibri" w:eastAsia="PingFang SC"/>
          <w:color w:val="464F60"/>
          <w:sz w:val="22"/>
        </w:rPr>
        <w:t>最后看产品化交付：用三层交付结构承接客户决策，并用两类专项产品解决持续产能和长期留量。</w:t>
      </w:r>
    </w:p>
    <w:p>
      <w:r>
        <w:br w:type="page"/>
      </w:r>
    </w:p>
    <w:p>
      <w:pPr>
        <w:pStyle w:val="Heading1"/>
        <w:keepNext/>
        <w:spacing w:before="320" w:after="160"/>
      </w:pPr>
      <w:r>
        <w:rPr>
          <w:rFonts w:ascii="Calibri" w:hAnsi="Calibri" w:eastAsia="PingFang SC"/>
          <w:b/>
          <w:color w:val="2E74B5"/>
          <w:sz w:val="32"/>
        </w:rPr>
        <w:t>1. 系统框架：完整链路的 Multi Agent 内容增长系统</w:t>
      </w:r>
    </w:p>
    <w:p>
      <w:pPr>
        <w:spacing w:before="0" w:after="120" w:line="264" w:lineRule="auto"/>
      </w:pPr>
      <w:r>
        <w:rPr>
          <w:rFonts w:ascii="Calibri" w:hAnsi="Calibri" w:eastAsia="PingFang SC"/>
          <w:b w:val="0"/>
          <w:i w:val="0"/>
          <w:color w:val="464F60"/>
          <w:sz w:val="22"/>
        </w:rPr>
        <w:t>这套系统的底层逻辑是围绕跨境内容电商的真实业务流程运转：从商品输入开始，持续完成内容增长链路中的关键判断与执行。它不是单点工具，也不是单次素材生成，而是把“商品理解、用户洞察、脚本创作、素材生产、视频提示词、投放复盘”串成连续链路。</w:t>
      </w:r>
    </w:p>
    <w:tbl>
      <w:tblPr>
        <w:tblStyle w:val="TableGrid"/>
        <w:tblW w:type="dxa" w:w="9360"/>
        <w:tblLayout w:type="fixed"/>
        <w:tblLook w:firstColumn="1" w:firstRow="1" w:lastColumn="0" w:lastRow="0" w:noHBand="0" w:noVBand="1" w:val="04A0"/>
        <w:jc w:val="left"/>
        <w:tblInd w:type="dxa" w:w="120"/>
      </w:tblPr>
      <w:tblGrid>
        <w:gridCol w:w="1944"/>
        <w:gridCol w:w="3240"/>
        <w:gridCol w:w="4176"/>
      </w:tblGrid>
      <w:tr>
        <w:tc>
          <w:tcPr>
            <w:tcW w:type="dxa" w:w="1944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  <w:shd w:fill="E8EEF5"/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/>
                <w:color w:val="12223E"/>
                <w:sz w:val="20"/>
              </w:rPr>
              <w:t>阶段</w:t>
            </w:r>
          </w:p>
        </w:tc>
        <w:tc>
          <w:tcPr>
            <w:tcW w:type="dxa" w:w="324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  <w:shd w:fill="E8EEF5"/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/>
                <w:color w:val="12223E"/>
                <w:sz w:val="20"/>
              </w:rPr>
              <w:t>核心步骤</w:t>
            </w:r>
          </w:p>
        </w:tc>
        <w:tc>
          <w:tcPr>
            <w:tcW w:type="dxa" w:w="4176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  <w:shd w:fill="E8EEF5"/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/>
                <w:color w:val="12223E"/>
                <w:sz w:val="20"/>
              </w:rPr>
              <w:t>作用</w:t>
            </w:r>
          </w:p>
        </w:tc>
      </w:tr>
      <w:tr>
        <w:tc>
          <w:tcPr>
            <w:tcW w:type="dxa" w:w="1944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19"/>
              </w:rPr>
              <w:t>输入与理解</w:t>
            </w:r>
          </w:p>
        </w:tc>
        <w:tc>
          <w:tcPr>
            <w:tcW w:type="dxa" w:w="324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19"/>
              </w:rPr>
              <w:t>创建任务、商品 DNA 解析、心智线索生成</w:t>
            </w:r>
          </w:p>
        </w:tc>
        <w:tc>
          <w:tcPr>
            <w:tcW w:type="dxa" w:w="4176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19"/>
              </w:rPr>
              <w:t>把商品名、卖点、目标市场、投放平台、对标视频和潜在风险转成系统可执行的信息。</w:t>
            </w:r>
          </w:p>
        </w:tc>
      </w:tr>
      <w:tr>
        <w:tc>
          <w:tcPr>
            <w:tcW w:type="dxa" w:w="1944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19"/>
              </w:rPr>
              <w:t>决策与创作</w:t>
            </w:r>
          </w:p>
        </w:tc>
        <w:tc>
          <w:tcPr>
            <w:tcW w:type="dxa" w:w="324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19"/>
              </w:rPr>
              <w:t>脚本生成、脚本回溯、图片素材生成</w:t>
            </w:r>
          </w:p>
        </w:tc>
        <w:tc>
          <w:tcPr>
            <w:tcW w:type="dxa" w:w="4176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19"/>
              </w:rPr>
              <w:t>将心智线索变成可测试脚本，并补足人物、产品、场景、画面参考素材。</w:t>
            </w:r>
          </w:p>
        </w:tc>
      </w:tr>
      <w:tr>
        <w:tc>
          <w:tcPr>
            <w:tcW w:type="dxa" w:w="1944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19"/>
              </w:rPr>
              <w:t>生产与回流</w:t>
            </w:r>
          </w:p>
        </w:tc>
        <w:tc>
          <w:tcPr>
            <w:tcW w:type="dxa" w:w="324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19"/>
              </w:rPr>
              <w:t>视频提示词、提示词精修、发布与复盘</w:t>
            </w:r>
          </w:p>
        </w:tc>
        <w:tc>
          <w:tcPr>
            <w:tcW w:type="dxa" w:w="4176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19"/>
              </w:rPr>
              <w:t>把脚本转成可生成视频的镜头提示词，再根据回收数据进入下一轮优化。</w:t>
            </w:r>
          </w:p>
        </w:tc>
      </w:tr>
    </w:tbl>
    <w:p>
      <w:pPr>
        <w:spacing w:before="0" w:after="120" w:line="264" w:lineRule="auto"/>
      </w:pPr>
    </w:p>
    <w:tbl>
      <w:tblPr>
        <w:tblStyle w:val="TableGrid"/>
        <w:tblW w:type="dxa" w:w="9360"/>
        <w:jc w:val="left"/>
        <w:tblLayout w:type="fixed"/>
        <w:tblLook w:firstColumn="1" w:firstRow="1" w:lastColumn="0" w:lastRow="0" w:noHBand="0" w:noVBand="1" w:val="04A0"/>
        <w:tblInd w:type="dxa" w:w="120"/>
      </w:tblPr>
      <w:tblGrid>
        <w:gridCol w:w="9360"/>
      </w:tblGrid>
      <w:tr>
        <w:tc>
          <w:tcPr>
            <w:tcW w:type="dxa" w:w="936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  <w:shd w:fill="E8EEF5"/>
          </w:tcPr>
          <w:p>
            <w:pPr>
              <w:spacing w:before="40" w:after="60"/>
            </w:pPr>
            <w:r/>
            <w:r>
              <w:rPr>
                <w:rFonts w:ascii="Calibri" w:hAnsi="Calibri" w:eastAsia="PingFang SC"/>
                <w:b/>
                <w:color w:val="12223E"/>
                <w:sz w:val="21"/>
              </w:rPr>
              <w:t>关键判断</w:t>
            </w:r>
          </w:p>
          <w:p>
            <w:pPr>
              <w:spacing w:after="40" w:line="274" w:lineRule="auto"/>
            </w:pPr>
            <w:r>
              <w:rPr>
                <w:rFonts w:ascii="Calibri" w:hAnsi="Calibri" w:eastAsia="PingFang SC"/>
                <w:color w:val="464F60"/>
                <w:sz w:val="21"/>
              </w:rPr>
              <w:t>系统价值不在“替代人工想创意”，而在把优秀内容负责人原本依赖经验完成的判断拆解成可复用环节：先理解商品和用户，再生成多个内容变量，最后通过市场反馈回到脚本与提示词策略。</w:t>
            </w:r>
          </w:p>
        </w:tc>
      </w:tr>
    </w:tbl>
    <w:p>
      <w:pPr>
        <w:spacing w:before="0" w:after="120" w:line="264" w:lineRule="auto"/>
      </w:pPr>
    </w:p>
    <w:p>
      <w:pPr>
        <w:spacing w:before="80" w:after="80" w:line="264" w:lineRule="auto"/>
        <w:keepNext/>
      </w:pPr>
      <w:r>
        <w:rPr>
          <w:rFonts w:ascii="Calibri" w:hAnsi="Calibri" w:eastAsia="PingFang SC"/>
          <w:b w:val="0"/>
          <w:i/>
          <w:color w:val="636F84"/>
          <w:sz w:val="19"/>
        </w:rPr>
        <w:t>图 1：9 步增长机器，从商品输入、脚本与素材生成，到发布复盘和下一轮回流。</w:t>
      </w:r>
    </w:p>
    <w:p>
      <w:pPr>
        <w:spacing w:after="200"/>
        <w:jc w:val="center"/>
      </w:pPr>
      <w:r>
        <w:drawing>
          <wp:inline xmlns:a="http://schemas.openxmlformats.org/drawingml/2006/main" xmlns:pic="http://schemas.openxmlformats.org/drawingml/2006/picture">
            <wp:extent cx="5806440" cy="3269864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1_multi_agent_chain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06440" cy="326986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1"/>
        <w:keepNext/>
        <w:spacing w:before="320" w:after="160"/>
      </w:pPr>
      <w:r>
        <w:rPr>
          <w:rFonts w:ascii="Calibri" w:hAnsi="Calibri" w:eastAsia="PingFang SC"/>
          <w:b/>
          <w:color w:val="2E74B5"/>
          <w:sz w:val="32"/>
        </w:rPr>
        <w:t>2. 数据飞轮：从一次生成走向持续变准</w:t>
      </w:r>
    </w:p>
    <w:p>
      <w:pPr>
        <w:spacing w:before="0" w:after="120" w:line="264" w:lineRule="auto"/>
      </w:pPr>
      <w:r>
        <w:rPr>
          <w:rFonts w:ascii="Calibri" w:hAnsi="Calibri" w:eastAsia="PingFang SC"/>
          <w:b w:val="0"/>
          <w:i w:val="0"/>
          <w:color w:val="464F60"/>
          <w:sz w:val="22"/>
        </w:rPr>
        <w:t>数据飞轮说明了系统为什么能在真实业务中持续迭代。它不是把 AI 当成一次性内容生产机器，而是让专家经验先进入系统，再通过真实市场结果校准系统。每一次发布后的播放、点击、互动、转化、成交和评论，都不只是报告数字，而是下一轮脚本结构、场景选择和提示词策略的输入。</w:t>
      </w:r>
    </w:p>
    <w:p>
      <w:pPr>
        <w:pStyle w:val="ListNumber"/>
        <w:spacing w:after="160" w:line="280" w:lineRule="auto"/>
        <w:ind w:left="720" w:hanging="360"/>
      </w:pPr>
      <w:r>
        <w:rPr>
          <w:rFonts w:ascii="Calibri" w:hAnsi="Calibri" w:eastAsia="PingFang SC"/>
          <w:color w:val="464F60"/>
          <w:sz w:val="22"/>
        </w:rPr>
        <w:t>专家经验赋能 AI：把头部内容操盘经验、商品理解、用户洞察、爆款脚本结构和平台认知预先注入系统。</w:t>
      </w:r>
    </w:p>
    <w:p>
      <w:pPr>
        <w:pStyle w:val="ListNumber"/>
        <w:spacing w:after="160" w:line="280" w:lineRule="auto"/>
        <w:ind w:left="720" w:hanging="360"/>
      </w:pPr>
      <w:r>
        <w:rPr>
          <w:rFonts w:ascii="Calibri" w:hAnsi="Calibri" w:eastAsia="PingFang SC"/>
          <w:color w:val="464F60"/>
          <w:sz w:val="22"/>
        </w:rPr>
        <w:t>生成高转化内容：围绕真实商品、真实卖点和目标市场，生成脚本、提示词和内容方案。</w:t>
      </w:r>
    </w:p>
    <w:p>
      <w:pPr>
        <w:pStyle w:val="ListNumber"/>
        <w:spacing w:after="160" w:line="280" w:lineRule="auto"/>
        <w:ind w:left="720" w:hanging="360"/>
      </w:pPr>
      <w:r>
        <w:rPr>
          <w:rFonts w:ascii="Calibri" w:hAnsi="Calibri" w:eastAsia="PingFang SC"/>
          <w:color w:val="464F60"/>
          <w:sz w:val="22"/>
        </w:rPr>
        <w:t>进入真实市场测试：通过账号矩阵、投流和达人/素材分发获取一手反馈。</w:t>
      </w:r>
    </w:p>
    <w:p>
      <w:pPr>
        <w:pStyle w:val="ListNumber"/>
        <w:spacing w:after="160" w:line="280" w:lineRule="auto"/>
        <w:ind w:left="720" w:hanging="360"/>
      </w:pPr>
      <w:r>
        <w:rPr>
          <w:rFonts w:ascii="Calibri" w:hAnsi="Calibri" w:eastAsia="PingFang SC"/>
          <w:color w:val="464F60"/>
          <w:sz w:val="22"/>
        </w:rPr>
        <w:t>数据回流与专家复盘：判断哪些卖点更有效、开头更能停留、场景更能转化、表达更符合本土心智。</w:t>
      </w:r>
    </w:p>
    <w:p>
      <w:pPr>
        <w:pStyle w:val="ListNumber"/>
        <w:spacing w:after="160" w:line="280" w:lineRule="auto"/>
        <w:ind w:left="720" w:hanging="360"/>
      </w:pPr>
      <w:r>
        <w:rPr>
          <w:rFonts w:ascii="Calibri" w:hAnsi="Calibri" w:eastAsia="PingFang SC"/>
          <w:color w:val="464F60"/>
          <w:sz w:val="22"/>
        </w:rPr>
        <w:t>修正脚本与提示词策略：将归因结果重新写回系统，形成下一轮更优解。</w:t>
      </w:r>
    </w:p>
    <w:tbl>
      <w:tblPr>
        <w:tblStyle w:val="TableGrid"/>
        <w:tblW w:type="dxa" w:w="9360"/>
        <w:jc w:val="left"/>
        <w:tblLayout w:type="fixed"/>
        <w:tblLook w:firstColumn="1" w:firstRow="1" w:lastColumn="0" w:lastRow="0" w:noHBand="0" w:noVBand="1" w:val="04A0"/>
        <w:tblInd w:type="dxa" w:w="120"/>
      </w:tblPr>
      <w:tblGrid>
        <w:gridCol w:w="9360"/>
      </w:tblGrid>
      <w:tr>
        <w:tc>
          <w:tcPr>
            <w:tcW w:type="dxa" w:w="936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  <w:shd w:fill="E6F6EF"/>
          </w:tcPr>
          <w:p>
            <w:pPr>
              <w:spacing w:before="40" w:after="60"/>
            </w:pPr>
            <w:r/>
            <w:r>
              <w:rPr>
                <w:rFonts w:ascii="Calibri" w:hAnsi="Calibri" w:eastAsia="PingFang SC"/>
                <w:b/>
                <w:color w:val="12223E"/>
                <w:sz w:val="21"/>
              </w:rPr>
              <w:t>管理层表述</w:t>
            </w:r>
          </w:p>
          <w:p>
            <w:pPr>
              <w:spacing w:after="40" w:line="274" w:lineRule="auto"/>
            </w:pPr>
            <w:r>
              <w:rPr>
                <w:rFonts w:ascii="Calibri" w:hAnsi="Calibri" w:eastAsia="PingFang SC"/>
                <w:color w:val="464F60"/>
                <w:sz w:val="21"/>
              </w:rPr>
              <w:t>不是“生成更多内容”，而是让内容生产、数据反馈、专家修正、再次计算持续闭环，最终让系统越来越接近高转化内容的最优解。</w:t>
            </w:r>
          </w:p>
        </w:tc>
      </w:tr>
    </w:tbl>
    <w:p>
      <w:pPr>
        <w:spacing w:before="0" w:after="120" w:line="264" w:lineRule="auto"/>
      </w:pPr>
    </w:p>
    <w:p>
      <w:pPr>
        <w:spacing w:before="80" w:after="80" w:line="264" w:lineRule="auto"/>
        <w:keepNext/>
      </w:pPr>
      <w:r>
        <w:rPr>
          <w:rFonts w:ascii="Calibri" w:hAnsi="Calibri" w:eastAsia="PingFang SC"/>
          <w:b w:val="0"/>
          <w:i/>
          <w:color w:val="636F84"/>
          <w:sz w:val="19"/>
        </w:rPr>
        <w:t>图 2：专家经验、真实内容、市场反馈和策略修正共同形成闭环飞轮。</w:t>
      </w:r>
    </w:p>
    <w:p>
      <w:pPr>
        <w:spacing w:after="200"/>
        <w:jc w:val="center"/>
      </w:pPr>
      <w:r>
        <w:drawing>
          <wp:inline xmlns:a="http://schemas.openxmlformats.org/drawingml/2006/main" xmlns:pic="http://schemas.openxmlformats.org/drawingml/2006/picture">
            <wp:extent cx="5806440" cy="3269864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2_data_flywheel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06440" cy="326986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pStyle w:val="Heading1"/>
        <w:keepNext/>
        <w:spacing w:before="320" w:after="160"/>
      </w:pPr>
      <w:r>
        <w:rPr>
          <w:rFonts w:ascii="Calibri" w:hAnsi="Calibri" w:eastAsia="PingFang SC"/>
          <w:b/>
          <w:color w:val="2E74B5"/>
          <w:sz w:val="32"/>
        </w:rPr>
        <w:t>3. 案例验证：从单条视频到内容资产</w:t>
      </w:r>
    </w:p>
    <w:p>
      <w:pPr>
        <w:spacing w:before="0" w:after="120" w:line="264" w:lineRule="auto"/>
      </w:pPr>
      <w:r>
        <w:rPr>
          <w:rFonts w:ascii="Calibri" w:hAnsi="Calibri" w:eastAsia="PingFang SC"/>
          <w:b w:val="0"/>
          <w:i w:val="0"/>
          <w:color w:val="464F60"/>
          <w:sz w:val="22"/>
        </w:rPr>
        <w:t>案例部分证明了同一套系统可以处理不同类型的增长问题：有的是把已经爆过的脚本结构复制成长期矩阵，有的是为老品重新寻找内容触发点，有的是借助热点语境完成冷启动，有的是通过数据和场景赛马找到更值得放大的方向，还有的是把短期流量沉淀为账号资产。</w:t>
      </w:r>
    </w:p>
    <w:p>
      <w:pPr>
        <w:pStyle w:val="Heading2"/>
        <w:keepNext/>
        <w:spacing w:before="240" w:after="120"/>
      </w:pPr>
      <w:r>
        <w:rPr>
          <w:rFonts w:ascii="Calibri" w:hAnsi="Calibri" w:eastAsia="PingFang SC"/>
          <w:b/>
          <w:color w:val="2E74B5"/>
          <w:sz w:val="26"/>
        </w:rPr>
        <w:t>3.1 爆款脚本转长期带货矩阵</w:t>
      </w:r>
    </w:p>
    <w:tbl>
      <w:tblPr>
        <w:tblStyle w:val="TableGrid"/>
        <w:tblW w:type="dxa" w:w="9360"/>
        <w:jc w:val="left"/>
        <w:tblLayout w:type="fixed"/>
        <w:tblLook w:firstColumn="1" w:firstRow="1" w:lastColumn="0" w:lastRow="0" w:noHBand="0" w:noVBand="1" w:val="04A0"/>
        <w:tblInd w:type="dxa" w:w="120"/>
      </w:tblPr>
      <w:tblGrid>
        <w:gridCol w:w="2700"/>
        <w:gridCol w:w="6660"/>
      </w:tblGrid>
      <w:tr>
        <w:tc>
          <w:tcPr>
            <w:tcW w:type="dxa" w:w="270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  <w:shd w:fill="F2F4F7"/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/>
                <w:color w:val="12223E"/>
                <w:sz w:val="20"/>
              </w:rPr>
              <w:t>背景</w:t>
            </w:r>
          </w:p>
        </w:tc>
        <w:tc>
          <w:tcPr>
            <w:tcW w:type="dxa" w:w="666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20"/>
              </w:rPr>
              <w:t>支架音响长效带货矩阵，TikTok 美国；单条爆款不是终点，目标是把有效脚本复制为持续出单的内容矩阵。</w:t>
            </w:r>
          </w:p>
        </w:tc>
      </w:tr>
      <w:tr>
        <w:tc>
          <w:tcPr>
            <w:tcW w:type="dxa" w:w="270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  <w:shd w:fill="F2F4F7"/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/>
                <w:color w:val="12223E"/>
                <w:sz w:val="20"/>
              </w:rPr>
              <w:t>核心问题</w:t>
            </w:r>
          </w:p>
        </w:tc>
        <w:tc>
          <w:tcPr>
            <w:tcW w:type="dxa" w:w="666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20"/>
              </w:rPr>
              <w:t>很多团队拿到爆款后只会继续“追同款”，但没有把爆款拆成结构，因此很难稳定复用。</w:t>
            </w:r>
          </w:p>
        </w:tc>
      </w:tr>
      <w:tr>
        <w:tc>
          <w:tcPr>
            <w:tcW w:type="dxa" w:w="270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  <w:shd w:fill="F2F4F7"/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/>
                <w:color w:val="12223E"/>
                <w:sz w:val="20"/>
              </w:rPr>
              <w:t>沉淀资产</w:t>
            </w:r>
          </w:p>
        </w:tc>
        <w:tc>
          <w:tcPr>
            <w:tcW w:type="dxa" w:w="666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20"/>
              </w:rPr>
              <w:t>高转化脚本结构、多场景变体、账号分发经验、长效 GMV 曲线。</w:t>
            </w:r>
          </w:p>
        </w:tc>
      </w:tr>
    </w:tbl>
    <w:p>
      <w:pPr>
        <w:spacing w:before="0" w:after="80" w:line="264" w:lineRule="auto"/>
      </w:pPr>
    </w:p>
    <w:p>
      <w:pPr>
        <w:pStyle w:val="Heading3"/>
        <w:keepNext/>
        <w:spacing w:before="160" w:after="80"/>
      </w:pPr>
      <w:r>
        <w:rPr>
          <w:rFonts w:ascii="Calibri" w:hAnsi="Calibri" w:eastAsia="PingFang SC"/>
          <w:b/>
          <w:color w:val="1F4D78"/>
          <w:sz w:val="24"/>
        </w:rPr>
        <w:t>方法拆解</w:t>
      </w:r>
    </w:p>
    <w:p>
      <w:pPr>
        <w:pStyle w:val="ListBullet"/>
        <w:spacing w:after="160" w:line="280" w:lineRule="auto"/>
        <w:ind w:left="720" w:hanging="360"/>
      </w:pPr>
      <w:r>
        <w:rPr>
          <w:rFonts w:ascii="Calibri" w:hAnsi="Calibri" w:eastAsia="PingFang SC"/>
          <w:color w:val="464F60"/>
          <w:sz w:val="22"/>
        </w:rPr>
        <w:t>锁定高清脚本结构：通过内容表现和用户反馈打磨出 3 个超级爆款脚本，不是只记录视频本身，而是归纳可复用结构。</w:t>
      </w:r>
    </w:p>
    <w:p>
      <w:pPr>
        <w:pStyle w:val="ListBullet"/>
        <w:spacing w:after="160" w:line="280" w:lineRule="auto"/>
        <w:ind w:left="720" w:hanging="360"/>
      </w:pPr>
      <w:r>
        <w:rPr>
          <w:rFonts w:ascii="Calibri" w:hAnsi="Calibri" w:eastAsia="PingFang SC"/>
          <w:color w:val="464F60"/>
          <w:sz w:val="22"/>
        </w:rPr>
        <w:t>矩阵化内容扩展：围绕同一产品的不同场景与表达方式，持续产出多条短视频，让一个脚本结构跑出多个变体。</w:t>
      </w:r>
    </w:p>
    <w:p>
      <w:pPr>
        <w:pStyle w:val="ListBullet"/>
        <w:spacing w:after="160" w:line="280" w:lineRule="auto"/>
        <w:ind w:left="720" w:hanging="360"/>
      </w:pPr>
      <w:r>
        <w:rPr>
          <w:rFonts w:ascii="Calibri" w:hAnsi="Calibri" w:eastAsia="PingFang SC"/>
          <w:color w:val="464F60"/>
          <w:sz w:val="22"/>
        </w:rPr>
        <w:t>持续分发和复刻：在不同账号、不同内容版本中反复验证，跑出长效 GMV 曲线。</w:t>
      </w:r>
    </w:p>
    <w:p>
      <w:pPr>
        <w:pStyle w:val="Heading3"/>
        <w:keepNext/>
        <w:spacing w:before="160" w:after="80"/>
      </w:pPr>
      <w:r>
        <w:rPr>
          <w:rFonts w:ascii="Calibri" w:hAnsi="Calibri" w:eastAsia="PingFang SC"/>
          <w:b/>
          <w:color w:val="1F4D78"/>
          <w:sz w:val="24"/>
        </w:rPr>
        <w:t>结果与可复用结论</w:t>
      </w:r>
    </w:p>
    <w:p>
      <w:pPr>
        <w:pStyle w:val="ListBullet"/>
        <w:spacing w:after="160" w:line="280" w:lineRule="auto"/>
        <w:ind w:left="720" w:hanging="360"/>
      </w:pPr>
      <w:r>
        <w:rPr>
          <w:rFonts w:ascii="Calibri" w:hAnsi="Calibri" w:eastAsia="PingFang SC"/>
          <w:color w:val="464F60"/>
          <w:sz w:val="22"/>
        </w:rPr>
        <w:t>截图显示：2 条千万级播放视频、数十条百万级播放视频、累计 5 万单以上，Total GMV 突破 $50 万+。</w:t>
      </w:r>
    </w:p>
    <w:p>
      <w:pPr>
        <w:pStyle w:val="ListBullet"/>
        <w:spacing w:after="160" w:line="280" w:lineRule="auto"/>
        <w:ind w:left="720" w:hanging="360"/>
      </w:pPr>
      <w:r>
        <w:rPr>
          <w:rFonts w:ascii="Calibri" w:hAnsi="Calibri" w:eastAsia="PingFang SC"/>
          <w:color w:val="464F60"/>
          <w:sz w:val="22"/>
        </w:rPr>
        <w:t>可复用结论：单条爆款不应只被当成结果，而应被拆成脚本结构、内容矩阵和分发策略。</w:t>
      </w:r>
    </w:p>
    <w:p>
      <w:pPr>
        <w:spacing w:before="80" w:after="80" w:line="264" w:lineRule="auto"/>
        <w:keepNext/>
      </w:pPr>
      <w:r>
        <w:rPr>
          <w:rFonts w:ascii="Calibri" w:hAnsi="Calibri" w:eastAsia="PingFang SC"/>
          <w:b w:val="0"/>
          <w:i/>
          <w:color w:val="636F84"/>
          <w:sz w:val="19"/>
        </w:rPr>
        <w:t>图 3：支架音响长效带货矩阵案例，重点是把一次爆款沉淀为可复制结构。</w:t>
      </w:r>
    </w:p>
    <w:p>
      <w:pPr>
        <w:spacing w:after="200"/>
        <w:jc w:val="center"/>
      </w:pPr>
      <w:r>
        <w:drawing>
          <wp:inline xmlns:a="http://schemas.openxmlformats.org/drawingml/2006/main" xmlns:pic="http://schemas.openxmlformats.org/drawingml/2006/picture">
            <wp:extent cx="5806440" cy="3269864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3_case_01_script_matrix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806440" cy="326986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2"/>
        <w:keepNext/>
        <w:spacing w:before="240" w:after="120"/>
      </w:pPr>
      <w:r>
        <w:rPr>
          <w:rFonts w:ascii="Calibri" w:hAnsi="Calibri" w:eastAsia="PingFang SC"/>
          <w:b/>
          <w:color w:val="2E74B5"/>
          <w:sz w:val="26"/>
        </w:rPr>
        <w:t>3.2 老品二次引爆：重新找到内容触发点</w:t>
      </w:r>
    </w:p>
    <w:tbl>
      <w:tblPr>
        <w:tblStyle w:val="TableGrid"/>
        <w:tblW w:type="dxa" w:w="9360"/>
        <w:jc w:val="left"/>
        <w:tblLayout w:type="fixed"/>
        <w:tblLook w:firstColumn="1" w:firstRow="1" w:lastColumn="0" w:lastRow="0" w:noHBand="0" w:noVBand="1" w:val="04A0"/>
        <w:tblInd w:type="dxa" w:w="120"/>
      </w:tblPr>
      <w:tblGrid>
        <w:gridCol w:w="2700"/>
        <w:gridCol w:w="6660"/>
      </w:tblGrid>
      <w:tr>
        <w:tc>
          <w:tcPr>
            <w:tcW w:type="dxa" w:w="270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  <w:shd w:fill="F2F4F7"/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/>
                <w:color w:val="12223E"/>
                <w:sz w:val="20"/>
              </w:rPr>
              <w:t>背景</w:t>
            </w:r>
          </w:p>
        </w:tc>
        <w:tc>
          <w:tcPr>
            <w:tcW w:type="dxa" w:w="666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20"/>
              </w:rPr>
              <w:t>强光手电筒美国超级老爆品；市场已被反复教育，普通卖点逐渐失效。</w:t>
            </w:r>
          </w:p>
        </w:tc>
      </w:tr>
      <w:tr>
        <w:tc>
          <w:tcPr>
            <w:tcW w:type="dxa" w:w="270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  <w:shd w:fill="F2F4F7"/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/>
                <w:color w:val="12223E"/>
                <w:sz w:val="20"/>
              </w:rPr>
              <w:t>核心问题</w:t>
            </w:r>
          </w:p>
        </w:tc>
        <w:tc>
          <w:tcPr>
            <w:tcW w:type="dxa" w:w="666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20"/>
              </w:rPr>
              <w:t>老品不是没有机会，而是原有表达方式已经失去新鲜感，需要让算法和用户重新看见它。</w:t>
            </w:r>
          </w:p>
        </w:tc>
      </w:tr>
      <w:tr>
        <w:tc>
          <w:tcPr>
            <w:tcW w:type="dxa" w:w="270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  <w:shd w:fill="F2F4F7"/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/>
                <w:color w:val="12223E"/>
                <w:sz w:val="20"/>
              </w:rPr>
              <w:t>沉淀资产</w:t>
            </w:r>
          </w:p>
        </w:tc>
        <w:tc>
          <w:tcPr>
            <w:tcW w:type="dxa" w:w="666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20"/>
              </w:rPr>
              <w:t>老品复燃公式：旧商品 × 新触发点 × 原生表达 × 快速复制。</w:t>
            </w:r>
          </w:p>
        </w:tc>
      </w:tr>
    </w:tbl>
    <w:p>
      <w:pPr>
        <w:spacing w:before="0" w:after="80" w:line="264" w:lineRule="auto"/>
      </w:pPr>
    </w:p>
    <w:p>
      <w:pPr>
        <w:pStyle w:val="Heading3"/>
        <w:keepNext/>
        <w:spacing w:before="160" w:after="80"/>
      </w:pPr>
      <w:r>
        <w:rPr>
          <w:rFonts w:ascii="Calibri" w:hAnsi="Calibri" w:eastAsia="PingFang SC"/>
          <w:b/>
          <w:color w:val="1F4D78"/>
          <w:sz w:val="24"/>
        </w:rPr>
        <w:t>方法拆解</w:t>
      </w:r>
    </w:p>
    <w:p>
      <w:pPr>
        <w:pStyle w:val="ListBullet"/>
        <w:spacing w:after="160" w:line="280" w:lineRule="auto"/>
        <w:ind w:left="720" w:hanging="360"/>
      </w:pPr>
      <w:r>
        <w:rPr>
          <w:rFonts w:ascii="Calibri" w:hAnsi="Calibri" w:eastAsia="PingFang SC"/>
          <w:color w:val="464F60"/>
          <w:sz w:val="22"/>
        </w:rPr>
        <w:t>重新拆解内容触发点：不再只讲亮度、续航、户外等传统卖点，而是换成更有趣、更原生、更具互动感的脚本结构。</w:t>
      </w:r>
    </w:p>
    <w:p>
      <w:pPr>
        <w:pStyle w:val="ListBullet"/>
        <w:spacing w:after="160" w:line="280" w:lineRule="auto"/>
        <w:ind w:left="720" w:hanging="360"/>
      </w:pPr>
      <w:r>
        <w:rPr>
          <w:rFonts w:ascii="Calibri" w:hAnsi="Calibri" w:eastAsia="PingFang SC"/>
          <w:color w:val="464F60"/>
          <w:sz w:val="22"/>
        </w:rPr>
        <w:t>同脚本快速复制测试：单日围绕核心脚本输出 2 条视频，用 5.7M + 2.2M 双爆款证明内容结构可复制。</w:t>
      </w:r>
    </w:p>
    <w:p>
      <w:pPr>
        <w:pStyle w:val="ListBullet"/>
        <w:spacing w:after="160" w:line="280" w:lineRule="auto"/>
        <w:ind w:left="720" w:hanging="360"/>
      </w:pPr>
      <w:r>
        <w:rPr>
          <w:rFonts w:ascii="Calibri" w:hAnsi="Calibri" w:eastAsia="PingFang SC"/>
          <w:color w:val="464F60"/>
          <w:sz w:val="22"/>
        </w:rPr>
        <w:t>评论验证本土感：美国用户主动评价“不像广告”，说明内容击中了本地表达偏好，而不是靠硬广识别。</w:t>
      </w:r>
    </w:p>
    <w:p>
      <w:pPr>
        <w:pStyle w:val="Heading3"/>
        <w:keepNext/>
        <w:spacing w:before="160" w:after="80"/>
      </w:pPr>
      <w:r>
        <w:rPr>
          <w:rFonts w:ascii="Calibri" w:hAnsi="Calibri" w:eastAsia="PingFang SC"/>
          <w:b/>
          <w:color w:val="1F4D78"/>
          <w:sz w:val="24"/>
        </w:rPr>
        <w:t>结果与可复用结论</w:t>
      </w:r>
    </w:p>
    <w:p>
      <w:pPr>
        <w:pStyle w:val="ListBullet"/>
        <w:spacing w:after="160" w:line="280" w:lineRule="auto"/>
        <w:ind w:left="720" w:hanging="360"/>
      </w:pPr>
      <w:r>
        <w:rPr>
          <w:rFonts w:ascii="Calibri" w:hAnsi="Calibri" w:eastAsia="PingFang SC"/>
          <w:color w:val="464F60"/>
          <w:sz w:val="22"/>
        </w:rPr>
        <w:t>截图显示：1 周 GMV $16 万+、订单量 15,000+、总播放 7.9M。</w:t>
      </w:r>
    </w:p>
    <w:p>
      <w:pPr>
        <w:pStyle w:val="ListBullet"/>
        <w:spacing w:after="160" w:line="280" w:lineRule="auto"/>
        <w:ind w:left="720" w:hanging="360"/>
      </w:pPr>
      <w:r>
        <w:rPr>
          <w:rFonts w:ascii="Calibri" w:hAnsi="Calibri" w:eastAsia="PingFang SC"/>
          <w:color w:val="464F60"/>
          <w:sz w:val="22"/>
        </w:rPr>
        <w:t>可复用结论：老品复燃不一定要换商品，往往需要换内容变量、换触发点、换脚本表达。</w:t>
      </w:r>
    </w:p>
    <w:p>
      <w:pPr>
        <w:spacing w:before="80" w:after="80" w:line="264" w:lineRule="auto"/>
        <w:keepNext/>
      </w:pPr>
      <w:r>
        <w:rPr>
          <w:rFonts w:ascii="Calibri" w:hAnsi="Calibri" w:eastAsia="PingFang SC"/>
          <w:b w:val="0"/>
          <w:i/>
          <w:color w:val="636F84"/>
          <w:sz w:val="19"/>
        </w:rPr>
        <w:t>图 4：强光手电筒老品二次引爆案例，重点是重组内容变量而不是替换商品。</w:t>
      </w:r>
    </w:p>
    <w:p>
      <w:pPr>
        <w:spacing w:after="200"/>
        <w:jc w:val="center"/>
      </w:pPr>
      <w:r>
        <w:drawing>
          <wp:inline xmlns:a="http://schemas.openxmlformats.org/drawingml/2006/main" xmlns:pic="http://schemas.openxmlformats.org/drawingml/2006/picture">
            <wp:extent cx="5806440" cy="3269864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4_case_02_old_product_revival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806440" cy="326986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2"/>
        <w:keepNext/>
        <w:spacing w:before="240" w:after="120"/>
      </w:pPr>
      <w:r>
        <w:rPr>
          <w:rFonts w:ascii="Calibri" w:hAnsi="Calibri" w:eastAsia="PingFang SC"/>
          <w:b/>
          <w:color w:val="2E74B5"/>
          <w:sz w:val="26"/>
        </w:rPr>
        <w:t>3.3 热点语境融合：帮助新链接突破冷启动</w:t>
      </w:r>
    </w:p>
    <w:tbl>
      <w:tblPr>
        <w:tblStyle w:val="TableGrid"/>
        <w:tblW w:type="dxa" w:w="9360"/>
        <w:jc w:val="left"/>
        <w:tblLayout w:type="fixed"/>
        <w:tblLook w:firstColumn="1" w:firstRow="1" w:lastColumn="0" w:lastRow="0" w:noHBand="0" w:noVBand="1" w:val="04A0"/>
        <w:tblInd w:type="dxa" w:w="120"/>
      </w:tblPr>
      <w:tblGrid>
        <w:gridCol w:w="2700"/>
        <w:gridCol w:w="6660"/>
      </w:tblGrid>
      <w:tr>
        <w:tc>
          <w:tcPr>
            <w:tcW w:type="dxa" w:w="270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  <w:shd w:fill="F2F4F7"/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/>
                <w:color w:val="12223E"/>
                <w:sz w:val="20"/>
              </w:rPr>
              <w:t>背景</w:t>
            </w:r>
          </w:p>
        </w:tc>
        <w:tc>
          <w:tcPr>
            <w:tcW w:type="dxa" w:w="666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20"/>
              </w:rPr>
              <w:t>弹力球承接英国站新链接；跟卖链接没有历史权重，需要通过内容把产品放进用户当下关注的内容语境。</w:t>
            </w:r>
          </w:p>
        </w:tc>
      </w:tr>
      <w:tr>
        <w:tc>
          <w:tcPr>
            <w:tcW w:type="dxa" w:w="270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  <w:shd w:fill="F2F4F7"/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/>
                <w:color w:val="12223E"/>
                <w:sz w:val="20"/>
              </w:rPr>
              <w:t>核心问题</w:t>
            </w:r>
          </w:p>
        </w:tc>
        <w:tc>
          <w:tcPr>
            <w:tcW w:type="dxa" w:w="666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20"/>
              </w:rPr>
              <w:t>新链接冷启动难点不只是流量少，而是算法缺少早期信号，用户也缺少点击和购买动机。</w:t>
            </w:r>
          </w:p>
        </w:tc>
      </w:tr>
      <w:tr>
        <w:tc>
          <w:tcPr>
            <w:tcW w:type="dxa" w:w="270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  <w:shd w:fill="F2F4F7"/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/>
                <w:color w:val="12223E"/>
                <w:sz w:val="20"/>
              </w:rPr>
              <w:t>沉淀资产</w:t>
            </w:r>
          </w:p>
        </w:tc>
        <w:tc>
          <w:tcPr>
            <w:tcW w:type="dxa" w:w="666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20"/>
              </w:rPr>
              <w:t>热点语境库、冷启动脚本、爆款后承接链路、媒体/平台反馈。</w:t>
            </w:r>
          </w:p>
        </w:tc>
      </w:tr>
    </w:tbl>
    <w:p>
      <w:pPr>
        <w:spacing w:before="0" w:after="80" w:line="264" w:lineRule="auto"/>
      </w:pPr>
    </w:p>
    <w:p>
      <w:pPr>
        <w:pStyle w:val="Heading3"/>
        <w:keepNext/>
        <w:spacing w:before="160" w:after="80"/>
      </w:pPr>
      <w:r>
        <w:rPr>
          <w:rFonts w:ascii="Calibri" w:hAnsi="Calibri" w:eastAsia="PingFang SC"/>
          <w:b/>
          <w:color w:val="1F4D78"/>
          <w:sz w:val="24"/>
        </w:rPr>
        <w:t>方法拆解</w:t>
      </w:r>
    </w:p>
    <w:p>
      <w:pPr>
        <w:pStyle w:val="ListBullet"/>
        <w:spacing w:after="160" w:line="280" w:lineRule="auto"/>
        <w:ind w:left="720" w:hanging="360"/>
      </w:pPr>
      <w:r>
        <w:rPr>
          <w:rFonts w:ascii="Calibri" w:hAnsi="Calibri" w:eastAsia="PingFang SC"/>
          <w:color w:val="464F60"/>
          <w:sz w:val="22"/>
        </w:rPr>
        <w:t>捕捉发布时间点热点语境：结合节日节点、社会话题、平台情绪，重设产品切入点。</w:t>
      </w:r>
    </w:p>
    <w:p>
      <w:pPr>
        <w:pStyle w:val="ListBullet"/>
        <w:spacing w:after="160" w:line="280" w:lineRule="auto"/>
        <w:ind w:left="720" w:hanging="360"/>
      </w:pPr>
      <w:r>
        <w:rPr>
          <w:rFonts w:ascii="Calibri" w:hAnsi="Calibri" w:eastAsia="PingFang SC"/>
          <w:color w:val="464F60"/>
          <w:sz w:val="22"/>
        </w:rPr>
        <w:t>重组原创脚本表达：不直接讲“好玩”，而是包装进礼物、惊喜、陪伴、家庭互动等更易被分享的语境。</w:t>
      </w:r>
    </w:p>
    <w:p>
      <w:pPr>
        <w:pStyle w:val="ListBullet"/>
        <w:spacing w:after="160" w:line="280" w:lineRule="auto"/>
        <w:ind w:left="720" w:hanging="360"/>
      </w:pPr>
      <w:r>
        <w:rPr>
          <w:rFonts w:ascii="Calibri" w:hAnsi="Calibri" w:eastAsia="PingFang SC"/>
          <w:color w:val="464F60"/>
          <w:sz w:val="22"/>
        </w:rPr>
        <w:t>爆款后快速承接新链接：用原创实拍和 AI 短视频矩阵承接流量红利，让内容热度变成链接起量。</w:t>
      </w:r>
    </w:p>
    <w:p>
      <w:pPr>
        <w:pStyle w:val="Heading3"/>
        <w:keepNext/>
        <w:spacing w:before="160" w:after="80"/>
      </w:pPr>
      <w:r>
        <w:rPr>
          <w:rFonts w:ascii="Calibri" w:hAnsi="Calibri" w:eastAsia="PingFang SC"/>
          <w:b/>
          <w:color w:val="1F4D78"/>
          <w:sz w:val="24"/>
        </w:rPr>
        <w:t>结果与可复用结论</w:t>
      </w:r>
    </w:p>
    <w:p>
      <w:pPr>
        <w:pStyle w:val="ListBullet"/>
        <w:spacing w:after="160" w:line="280" w:lineRule="auto"/>
        <w:ind w:left="720" w:hanging="360"/>
      </w:pPr>
      <w:r>
        <w:rPr>
          <w:rFonts w:ascii="Calibri" w:hAnsi="Calibri" w:eastAsia="PingFang SC"/>
          <w:color w:val="464F60"/>
          <w:sz w:val="22"/>
        </w:rPr>
        <w:t>截图显示：单条视频 11.8M 播放，单周销量 15K+，单条 GMV $160K，新链接 1 月 GMV $100K+。</w:t>
      </w:r>
    </w:p>
    <w:p>
      <w:pPr>
        <w:pStyle w:val="ListBullet"/>
        <w:spacing w:after="160" w:line="280" w:lineRule="auto"/>
        <w:ind w:left="720" w:hanging="360"/>
      </w:pPr>
      <w:r>
        <w:rPr>
          <w:rFonts w:ascii="Calibri" w:hAnsi="Calibri" w:eastAsia="PingFang SC"/>
          <w:color w:val="464F60"/>
          <w:sz w:val="22"/>
        </w:rPr>
        <w:t>可复用结论：冷启动不是只靠卖点，关键是把产品放进当下热点里，让算法先把流量给你。</w:t>
      </w:r>
    </w:p>
    <w:p>
      <w:pPr>
        <w:spacing w:before="80" w:after="80" w:line="264" w:lineRule="auto"/>
        <w:keepNext/>
      </w:pPr>
      <w:r>
        <w:rPr>
          <w:rFonts w:ascii="Calibri" w:hAnsi="Calibri" w:eastAsia="PingFang SC"/>
          <w:b w:val="0"/>
          <w:i/>
          <w:color w:val="636F84"/>
          <w:sz w:val="19"/>
        </w:rPr>
        <w:t>图 5：弹力球承接英国站单周销冠，重点是把产品放进用户正在关注的内容语境。</w:t>
      </w:r>
    </w:p>
    <w:p>
      <w:pPr>
        <w:spacing w:after="200"/>
        <w:jc w:val="center"/>
      </w:pPr>
      <w:r>
        <w:drawing>
          <wp:inline xmlns:a="http://schemas.openxmlformats.org/drawingml/2006/main" xmlns:pic="http://schemas.openxmlformats.org/drawingml/2006/picture">
            <wp:extent cx="5806440" cy="3269864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5_case_03_context_fusion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806440" cy="326986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2"/>
        <w:keepNext/>
        <w:spacing w:before="240" w:after="120"/>
      </w:pPr>
      <w:r>
        <w:rPr>
          <w:rFonts w:ascii="Calibri" w:hAnsi="Calibri" w:eastAsia="PingFang SC"/>
          <w:b/>
          <w:color w:val="2E74B5"/>
          <w:sz w:val="26"/>
        </w:rPr>
        <w:t>3.4 数据反馈：找到真正高转化的心智线索</w:t>
      </w:r>
    </w:p>
    <w:tbl>
      <w:tblPr>
        <w:tblStyle w:val="TableGrid"/>
        <w:tblW w:type="dxa" w:w="9360"/>
        <w:jc w:val="left"/>
        <w:tblLayout w:type="fixed"/>
        <w:tblLook w:firstColumn="1" w:firstRow="1" w:lastColumn="0" w:lastRow="0" w:noHBand="0" w:noVBand="1" w:val="04A0"/>
        <w:tblInd w:type="dxa" w:w="120"/>
      </w:tblPr>
      <w:tblGrid>
        <w:gridCol w:w="2700"/>
        <w:gridCol w:w="6660"/>
      </w:tblGrid>
      <w:tr>
        <w:tc>
          <w:tcPr>
            <w:tcW w:type="dxa" w:w="270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  <w:shd w:fill="F2F4F7"/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/>
                <w:color w:val="12223E"/>
                <w:sz w:val="20"/>
              </w:rPr>
              <w:t>背景</w:t>
            </w:r>
          </w:p>
        </w:tc>
        <w:tc>
          <w:tcPr>
            <w:tcW w:type="dxa" w:w="666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20"/>
              </w:rPr>
              <w:t>家纺品牌心智线索赛马；同一产品，不同心智线索带来完全不同的转化表现。</w:t>
            </w:r>
          </w:p>
        </w:tc>
      </w:tr>
      <w:tr>
        <w:tc>
          <w:tcPr>
            <w:tcW w:type="dxa" w:w="270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  <w:shd w:fill="F2F4F7"/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/>
                <w:color w:val="12223E"/>
                <w:sz w:val="20"/>
              </w:rPr>
              <w:t>核心问题</w:t>
            </w:r>
          </w:p>
        </w:tc>
        <w:tc>
          <w:tcPr>
            <w:tcW w:type="dxa" w:w="666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20"/>
              </w:rPr>
              <w:t>过去依赖海外达人实拍时，成本高、交付慢、稳定性差，而且只能测试少量内容方向。</w:t>
            </w:r>
          </w:p>
        </w:tc>
      </w:tr>
      <w:tr>
        <w:tc>
          <w:tcPr>
            <w:tcW w:type="dxa" w:w="270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  <w:shd w:fill="F2F4F7"/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/>
                <w:color w:val="12223E"/>
                <w:sz w:val="20"/>
              </w:rPr>
              <w:t>沉淀资产</w:t>
            </w:r>
          </w:p>
        </w:tc>
        <w:tc>
          <w:tcPr>
            <w:tcW w:type="dxa" w:w="666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20"/>
              </w:rPr>
              <w:t>心智线索库、CTR / 转化反馈、专家复盘方法、下一轮内容迭代规则。</w:t>
            </w:r>
          </w:p>
        </w:tc>
      </w:tr>
    </w:tbl>
    <w:p>
      <w:pPr>
        <w:spacing w:before="0" w:after="80" w:line="264" w:lineRule="auto"/>
      </w:pPr>
    </w:p>
    <w:p>
      <w:pPr>
        <w:pStyle w:val="Heading3"/>
        <w:keepNext/>
        <w:spacing w:before="160" w:after="80"/>
      </w:pPr>
      <w:r>
        <w:rPr>
          <w:rFonts w:ascii="Calibri" w:hAnsi="Calibri" w:eastAsia="PingFang SC"/>
          <w:b/>
          <w:color w:val="1F4D78"/>
          <w:sz w:val="24"/>
        </w:rPr>
        <w:t>方法拆解</w:t>
      </w:r>
    </w:p>
    <w:p>
      <w:pPr>
        <w:pStyle w:val="ListBullet"/>
        <w:spacing w:after="160" w:line="280" w:lineRule="auto"/>
        <w:ind w:left="720" w:hanging="360"/>
      </w:pPr>
      <w:r>
        <w:rPr>
          <w:rFonts w:ascii="Calibri" w:hAnsi="Calibri" w:eastAsia="PingFang SC"/>
          <w:color w:val="464F60"/>
          <w:sz w:val="22"/>
        </w:rPr>
        <w:t>生成多心智线索：围绕同一商品提炼不同购买动机和卖点方向，不先假设唯一正确答案。</w:t>
      </w:r>
    </w:p>
    <w:p>
      <w:pPr>
        <w:pStyle w:val="ListBullet"/>
        <w:spacing w:after="160" w:line="280" w:lineRule="auto"/>
        <w:ind w:left="720" w:hanging="360"/>
      </w:pPr>
      <w:r>
        <w:rPr>
          <w:rFonts w:ascii="Calibri" w:hAnsi="Calibri" w:eastAsia="PingFang SC"/>
          <w:color w:val="464F60"/>
          <w:sz w:val="22"/>
        </w:rPr>
        <w:t>AI 视频矩阵测试：用矩阵视频快速赛马，让数据告诉团队脚本、画面和提示词下一版怎么改。</w:t>
      </w:r>
    </w:p>
    <w:p>
      <w:pPr>
        <w:pStyle w:val="ListBullet"/>
        <w:spacing w:after="160" w:line="280" w:lineRule="auto"/>
        <w:ind w:left="720" w:hanging="360"/>
      </w:pPr>
      <w:r>
        <w:rPr>
          <w:rFonts w:ascii="Calibri" w:hAnsi="Calibri" w:eastAsia="PingFang SC"/>
          <w:color w:val="464F60"/>
          <w:sz w:val="22"/>
        </w:rPr>
        <w:t>归因复盘与微调：将 CTR、转化、停留和评论反馈交给专家复盘，再回到脚本与提示词策略。</w:t>
      </w:r>
    </w:p>
    <w:p>
      <w:pPr>
        <w:pStyle w:val="Heading3"/>
        <w:keepNext/>
        <w:spacing w:before="160" w:after="80"/>
      </w:pPr>
      <w:r>
        <w:rPr>
          <w:rFonts w:ascii="Calibri" w:hAnsi="Calibri" w:eastAsia="PingFang SC"/>
          <w:b/>
          <w:color w:val="1F4D78"/>
          <w:sz w:val="24"/>
        </w:rPr>
        <w:t>结果与可复用结论</w:t>
      </w:r>
    </w:p>
    <w:p>
      <w:pPr>
        <w:pStyle w:val="ListBullet"/>
        <w:spacing w:after="160" w:line="280" w:lineRule="auto"/>
        <w:ind w:left="720" w:hanging="360"/>
      </w:pPr>
      <w:r>
        <w:rPr>
          <w:rFonts w:ascii="Calibri" w:hAnsi="Calibri" w:eastAsia="PingFang SC"/>
          <w:color w:val="464F60"/>
          <w:sz w:val="22"/>
        </w:rPr>
        <w:t>截图显示：AI 素材投放平均 CTR &gt; 3.8%，效果显著高于此前海外达人实拍素材；素材制作费用约为达人实拍的 1/10。</w:t>
      </w:r>
    </w:p>
    <w:p>
      <w:pPr>
        <w:pStyle w:val="ListBullet"/>
        <w:spacing w:after="160" w:line="280" w:lineRule="auto"/>
        <w:ind w:left="720" w:hanging="360"/>
      </w:pPr>
      <w:r>
        <w:rPr>
          <w:rFonts w:ascii="Calibri" w:hAnsi="Calibri" w:eastAsia="PingFang SC"/>
          <w:color w:val="464F60"/>
          <w:sz w:val="22"/>
        </w:rPr>
        <w:t>可复用结论：内容迭代不是靠灵感猜，而是用数据告诉我们下一版视频该往哪里改。</w:t>
      </w:r>
    </w:p>
    <w:p>
      <w:pPr>
        <w:spacing w:before="80" w:after="80" w:line="264" w:lineRule="auto"/>
        <w:keepNext/>
      </w:pPr>
      <w:r>
        <w:rPr>
          <w:rFonts w:ascii="Calibri" w:hAnsi="Calibri" w:eastAsia="PingFang SC"/>
          <w:b w:val="0"/>
          <w:i/>
          <w:color w:val="636F84"/>
          <w:sz w:val="19"/>
        </w:rPr>
        <w:t>图 6：家纺品牌心智线索赛马案例，重点是用 CTR 与转化反馈推动下一版内容修改。</w:t>
      </w:r>
    </w:p>
    <w:p>
      <w:pPr>
        <w:spacing w:after="200"/>
        <w:jc w:val="center"/>
      </w:pPr>
      <w:r>
        <w:drawing>
          <wp:inline xmlns:a="http://schemas.openxmlformats.org/drawingml/2006/main" xmlns:pic="http://schemas.openxmlformats.org/drawingml/2006/picture">
            <wp:extent cx="5806440" cy="3269864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6_case_04a_data_iteration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806440" cy="326986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2"/>
        <w:keepNext/>
        <w:spacing w:before="240" w:after="120"/>
      </w:pPr>
      <w:r>
        <w:rPr>
          <w:rFonts w:ascii="Calibri" w:hAnsi="Calibri" w:eastAsia="PingFang SC"/>
          <w:b/>
          <w:color w:val="2E74B5"/>
          <w:sz w:val="26"/>
        </w:rPr>
        <w:t>3.5 多场景测试：锁定更值得放大的用户场景</w:t>
      </w:r>
    </w:p>
    <w:tbl>
      <w:tblPr>
        <w:tblStyle w:val="TableGrid"/>
        <w:tblW w:type="dxa" w:w="9360"/>
        <w:jc w:val="left"/>
        <w:tblLayout w:type="fixed"/>
        <w:tblLook w:firstColumn="1" w:firstRow="1" w:lastColumn="0" w:lastRow="0" w:noHBand="0" w:noVBand="1" w:val="04A0"/>
        <w:tblInd w:type="dxa" w:w="120"/>
      </w:tblPr>
      <w:tblGrid>
        <w:gridCol w:w="2700"/>
        <w:gridCol w:w="6660"/>
      </w:tblGrid>
      <w:tr>
        <w:tc>
          <w:tcPr>
            <w:tcW w:type="dxa" w:w="270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  <w:shd w:fill="F2F4F7"/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/>
                <w:color w:val="12223E"/>
                <w:sz w:val="20"/>
              </w:rPr>
              <w:t>背景</w:t>
            </w:r>
          </w:p>
        </w:tc>
        <w:tc>
          <w:tcPr>
            <w:tcW w:type="dxa" w:w="666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20"/>
              </w:rPr>
              <w:t>服装品牌多使用场景测试；同一产品在不同使用场景下，用户点击和购买动机完全不同。</w:t>
            </w:r>
          </w:p>
        </w:tc>
      </w:tr>
      <w:tr>
        <w:tc>
          <w:tcPr>
            <w:tcW w:type="dxa" w:w="270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  <w:shd w:fill="F2F4F7"/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/>
                <w:color w:val="12223E"/>
                <w:sz w:val="20"/>
              </w:rPr>
              <w:t>核心问题</w:t>
            </w:r>
          </w:p>
        </w:tc>
        <w:tc>
          <w:tcPr>
            <w:tcW w:type="dxa" w:w="666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20"/>
              </w:rPr>
              <w:t>传统达人实拍受场地、人物、天气、时间和预算限制，很多场景难以批量拍摄，也难以及时测试。</w:t>
            </w:r>
          </w:p>
        </w:tc>
      </w:tr>
      <w:tr>
        <w:tc>
          <w:tcPr>
            <w:tcW w:type="dxa" w:w="270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  <w:shd w:fill="F2F4F7"/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/>
                <w:color w:val="12223E"/>
                <w:sz w:val="20"/>
              </w:rPr>
              <w:t>沉淀资产</w:t>
            </w:r>
          </w:p>
        </w:tc>
        <w:tc>
          <w:tcPr>
            <w:tcW w:type="dxa" w:w="666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20"/>
              </w:rPr>
              <w:t>高潜场景判断、场景测试数据、后续拍摄/投放方向、可规模化素材池。</w:t>
            </w:r>
          </w:p>
        </w:tc>
      </w:tr>
    </w:tbl>
    <w:p>
      <w:pPr>
        <w:spacing w:before="0" w:after="80" w:line="264" w:lineRule="auto"/>
      </w:pPr>
    </w:p>
    <w:p>
      <w:pPr>
        <w:pStyle w:val="Heading3"/>
        <w:keepNext/>
        <w:spacing w:before="160" w:after="80"/>
      </w:pPr>
      <w:r>
        <w:rPr>
          <w:rFonts w:ascii="Calibri" w:hAnsi="Calibri" w:eastAsia="PingFang SC"/>
          <w:b/>
          <w:color w:val="1F4D78"/>
          <w:sz w:val="24"/>
        </w:rPr>
        <w:t>方法拆解</w:t>
      </w:r>
    </w:p>
    <w:p>
      <w:pPr>
        <w:pStyle w:val="ListBullet"/>
        <w:spacing w:after="160" w:line="280" w:lineRule="auto"/>
        <w:ind w:left="720" w:hanging="360"/>
      </w:pPr>
      <w:r>
        <w:rPr>
          <w:rFonts w:ascii="Calibri" w:hAnsi="Calibri" w:eastAsia="PingFang SC"/>
          <w:color w:val="464F60"/>
          <w:sz w:val="22"/>
        </w:rPr>
        <w:t>多场景脚本生成：用 AI 视频矩阵测试不同人群、环境和需求，降低场景探索成本。</w:t>
      </w:r>
    </w:p>
    <w:p>
      <w:pPr>
        <w:pStyle w:val="ListBullet"/>
        <w:spacing w:after="160" w:line="280" w:lineRule="auto"/>
        <w:ind w:left="720" w:hanging="360"/>
      </w:pPr>
      <w:r>
        <w:rPr>
          <w:rFonts w:ascii="Calibri" w:hAnsi="Calibri" w:eastAsia="PingFang SC"/>
          <w:color w:val="464F60"/>
          <w:sz w:val="22"/>
        </w:rPr>
        <w:t>数据表现对比：将不同使用场景的点击率、转化、ROI 和素材复用情况放在一起判断。</w:t>
      </w:r>
    </w:p>
    <w:p>
      <w:pPr>
        <w:pStyle w:val="ListBullet"/>
        <w:spacing w:after="160" w:line="280" w:lineRule="auto"/>
        <w:ind w:left="720" w:hanging="360"/>
      </w:pPr>
      <w:r>
        <w:rPr>
          <w:rFonts w:ascii="Calibri" w:hAnsi="Calibri" w:eastAsia="PingFang SC"/>
          <w:color w:val="464F60"/>
          <w:sz w:val="22"/>
        </w:rPr>
        <w:t>锁定高潜场景：把表现更好的场景方向交给后续批量产出和真实实体拍摄。</w:t>
      </w:r>
    </w:p>
    <w:p>
      <w:pPr>
        <w:pStyle w:val="Heading3"/>
        <w:keepNext/>
        <w:spacing w:before="160" w:after="80"/>
      </w:pPr>
      <w:r>
        <w:rPr>
          <w:rFonts w:ascii="Calibri" w:hAnsi="Calibri" w:eastAsia="PingFang SC"/>
          <w:b/>
          <w:color w:val="1F4D78"/>
          <w:sz w:val="24"/>
        </w:rPr>
        <w:t>结果与可复用结论</w:t>
      </w:r>
    </w:p>
    <w:p>
      <w:pPr>
        <w:pStyle w:val="ListBullet"/>
        <w:spacing w:after="160" w:line="280" w:lineRule="auto"/>
        <w:ind w:left="720" w:hanging="360"/>
      </w:pPr>
      <w:r>
        <w:rPr>
          <w:rFonts w:ascii="Calibri" w:hAnsi="Calibri" w:eastAsia="PingFang SC"/>
          <w:color w:val="464F60"/>
          <w:sz w:val="22"/>
        </w:rPr>
        <w:t>截图显示：近千条高客单价产品视频出单率约 70%，CTR 3.5%-7.3%，ROI 2.1，年框合作后约 80% 投放素材来自 AI 素材。</w:t>
      </w:r>
    </w:p>
    <w:p>
      <w:pPr>
        <w:pStyle w:val="ListBullet"/>
        <w:spacing w:after="160" w:line="280" w:lineRule="auto"/>
        <w:ind w:left="720" w:hanging="360"/>
      </w:pPr>
      <w:r>
        <w:rPr>
          <w:rFonts w:ascii="Calibri" w:hAnsi="Calibri" w:eastAsia="PingFang SC"/>
          <w:color w:val="464F60"/>
          <w:sz w:val="22"/>
        </w:rPr>
        <w:t>可复用结论：AI 素材价值不只是批量生成，而是更快找到哪个人群、哪个场景、哪种表达值得继续投入。</w:t>
      </w:r>
    </w:p>
    <w:p>
      <w:pPr>
        <w:spacing w:before="80" w:after="80" w:line="264" w:lineRule="auto"/>
        <w:keepNext/>
      </w:pPr>
      <w:r>
        <w:rPr>
          <w:rFonts w:ascii="Calibri" w:hAnsi="Calibri" w:eastAsia="PingFang SC"/>
          <w:b w:val="0"/>
          <w:i/>
          <w:color w:val="636F84"/>
          <w:sz w:val="19"/>
        </w:rPr>
        <w:t>图 7：服装品牌多使用场景测试案例，重点是把场景测试变成确定性的投放判断。</w:t>
      </w:r>
    </w:p>
    <w:p>
      <w:pPr>
        <w:spacing w:after="200"/>
        <w:jc w:val="center"/>
      </w:pPr>
      <w:r>
        <w:drawing>
          <wp:inline xmlns:a="http://schemas.openxmlformats.org/drawingml/2006/main" xmlns:pic="http://schemas.openxmlformats.org/drawingml/2006/picture">
            <wp:extent cx="5806440" cy="3269864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7_case_04b_scene_testing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806440" cy="326986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2"/>
        <w:keepNext/>
        <w:spacing w:before="240" w:after="120"/>
      </w:pPr>
      <w:r>
        <w:rPr>
          <w:rFonts w:ascii="Calibri" w:hAnsi="Calibri" w:eastAsia="PingFang SC"/>
          <w:b/>
          <w:color w:val="2E74B5"/>
          <w:sz w:val="26"/>
        </w:rPr>
        <w:t>3.6 AI IP 账号矩阵：把流量沉淀为账号资产</w:t>
      </w:r>
    </w:p>
    <w:tbl>
      <w:tblPr>
        <w:tblStyle w:val="TableGrid"/>
        <w:tblW w:type="dxa" w:w="9360"/>
        <w:jc w:val="left"/>
        <w:tblLayout w:type="fixed"/>
        <w:tblLook w:firstColumn="1" w:firstRow="1" w:lastColumn="0" w:lastRow="0" w:noHBand="0" w:noVBand="1" w:val="04A0"/>
        <w:tblInd w:type="dxa" w:w="120"/>
      </w:tblPr>
      <w:tblGrid>
        <w:gridCol w:w="2700"/>
        <w:gridCol w:w="6660"/>
      </w:tblGrid>
      <w:tr>
        <w:tc>
          <w:tcPr>
            <w:tcW w:type="dxa" w:w="270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  <w:shd w:fill="F2F4F7"/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/>
                <w:color w:val="12223E"/>
                <w:sz w:val="20"/>
              </w:rPr>
              <w:t>背景</w:t>
            </w:r>
          </w:p>
        </w:tc>
        <w:tc>
          <w:tcPr>
            <w:tcW w:type="dxa" w:w="666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20"/>
              </w:rPr>
              <w:t>海外淘宝 TikTok 矩阵号代运营与 AI IP 型账号矩阵；从买流量走向造留量。</w:t>
            </w:r>
          </w:p>
        </w:tc>
      </w:tr>
      <w:tr>
        <w:tc>
          <w:tcPr>
            <w:tcW w:type="dxa" w:w="270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  <w:shd w:fill="F2F4F7"/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/>
                <w:color w:val="12223E"/>
                <w:sz w:val="20"/>
              </w:rPr>
              <w:t>核心问题</w:t>
            </w:r>
          </w:p>
        </w:tc>
        <w:tc>
          <w:tcPr>
            <w:tcW w:type="dxa" w:w="666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20"/>
              </w:rPr>
              <w:t>如果只买达人、买素材，短期会有曝光，但粉丝关系、内容结构和品牌识别无法沉淀。</w:t>
            </w:r>
          </w:p>
        </w:tc>
      </w:tr>
      <w:tr>
        <w:tc>
          <w:tcPr>
            <w:tcW w:type="dxa" w:w="270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  <w:shd w:fill="F2F4F7"/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/>
                <w:color w:val="12223E"/>
                <w:sz w:val="20"/>
              </w:rPr>
              <w:t>沉淀资产</w:t>
            </w:r>
          </w:p>
        </w:tc>
        <w:tc>
          <w:tcPr>
            <w:tcW w:type="dxa" w:w="666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20"/>
              </w:rPr>
              <w:t>AI 人设、账号矩阵、粉丝关系、内容结构、品牌留量资产。</w:t>
            </w:r>
          </w:p>
        </w:tc>
      </w:tr>
    </w:tbl>
    <w:p>
      <w:pPr>
        <w:spacing w:before="0" w:after="80" w:line="264" w:lineRule="auto"/>
      </w:pPr>
    </w:p>
    <w:p>
      <w:pPr>
        <w:pStyle w:val="Heading3"/>
        <w:keepNext/>
        <w:spacing w:before="160" w:after="80"/>
      </w:pPr>
      <w:r>
        <w:rPr>
          <w:rFonts w:ascii="Calibri" w:hAnsi="Calibri" w:eastAsia="PingFang SC"/>
          <w:b/>
          <w:color w:val="1F4D78"/>
          <w:sz w:val="24"/>
        </w:rPr>
        <w:t>方法拆解</w:t>
      </w:r>
    </w:p>
    <w:p>
      <w:pPr>
        <w:pStyle w:val="ListBullet"/>
        <w:spacing w:after="160" w:line="280" w:lineRule="auto"/>
        <w:ind w:left="720" w:hanging="360"/>
      </w:pPr>
      <w:r>
        <w:rPr>
          <w:rFonts w:ascii="Calibri" w:hAnsi="Calibri" w:eastAsia="PingFang SC"/>
          <w:color w:val="464F60"/>
          <w:sz w:val="22"/>
        </w:rPr>
        <w:t>统一 AI IP 人设：用稳定人设和内容风格保持识别度，形成账号资产的第一层记忆。</w:t>
      </w:r>
    </w:p>
    <w:p>
      <w:pPr>
        <w:pStyle w:val="ListBullet"/>
        <w:spacing w:after="160" w:line="280" w:lineRule="auto"/>
        <w:ind w:left="720" w:hanging="360"/>
      </w:pPr>
      <w:r>
        <w:rPr>
          <w:rFonts w:ascii="Calibri" w:hAnsi="Calibri" w:eastAsia="PingFang SC"/>
          <w:color w:val="464F60"/>
          <w:sz w:val="22"/>
        </w:rPr>
        <w:t>多账号矩阵放大验证：多账号同步赛马，不同人群多人口流量池同时测试。</w:t>
      </w:r>
    </w:p>
    <w:p>
      <w:pPr>
        <w:pStyle w:val="ListBullet"/>
        <w:spacing w:after="160" w:line="280" w:lineRule="auto"/>
        <w:ind w:left="720" w:hanging="360"/>
      </w:pPr>
      <w:r>
        <w:rPr>
          <w:rFonts w:ascii="Calibri" w:hAnsi="Calibri" w:eastAsia="PingFang SC"/>
          <w:color w:val="464F60"/>
          <w:sz w:val="22"/>
        </w:rPr>
        <w:t>粉丝关系沉淀：让用户对人设、内容节奏和账号定位形成记忆、信任和复访。</w:t>
      </w:r>
    </w:p>
    <w:p>
      <w:pPr>
        <w:pStyle w:val="ListBullet"/>
        <w:spacing w:after="160" w:line="280" w:lineRule="auto"/>
        <w:ind w:left="720" w:hanging="360"/>
      </w:pPr>
      <w:r>
        <w:rPr>
          <w:rFonts w:ascii="Calibri" w:hAnsi="Calibri" w:eastAsia="PingFang SC"/>
          <w:color w:val="464F60"/>
          <w:sz w:val="22"/>
        </w:rPr>
        <w:t>爆款有效内容沉淀：把涨粉、自然流量和复制曲线沉淀为海外内容阵地。</w:t>
      </w:r>
    </w:p>
    <w:p>
      <w:pPr>
        <w:pStyle w:val="Heading3"/>
        <w:keepNext/>
        <w:spacing w:before="160" w:after="80"/>
      </w:pPr>
      <w:r>
        <w:rPr>
          <w:rFonts w:ascii="Calibri" w:hAnsi="Calibri" w:eastAsia="PingFang SC"/>
          <w:b/>
          <w:color w:val="1F4D78"/>
          <w:sz w:val="24"/>
        </w:rPr>
        <w:t>结果与可复用结论</w:t>
      </w:r>
    </w:p>
    <w:p>
      <w:pPr>
        <w:pStyle w:val="ListBullet"/>
        <w:spacing w:after="160" w:line="280" w:lineRule="auto"/>
        <w:ind w:left="720" w:hanging="360"/>
      </w:pPr>
      <w:r>
        <w:rPr>
          <w:rFonts w:ascii="Calibri" w:hAnsi="Calibri" w:eastAsia="PingFang SC"/>
          <w:color w:val="464F60"/>
          <w:sz w:val="22"/>
        </w:rPr>
        <w:t>截图显示：10 个账号、42M 单峰；Day 1 单条视频最高播放量 4200 万，20+ 百万播放视频持续产出，单账号最高粉丝数 80000+。</w:t>
      </w:r>
    </w:p>
    <w:p>
      <w:pPr>
        <w:pStyle w:val="ListBullet"/>
        <w:spacing w:after="160" w:line="280" w:lineRule="auto"/>
        <w:ind w:left="720" w:hanging="360"/>
      </w:pPr>
      <w:r>
        <w:rPr>
          <w:rFonts w:ascii="Calibri" w:hAnsi="Calibri" w:eastAsia="PingFang SC"/>
          <w:color w:val="464F60"/>
          <w:sz w:val="22"/>
        </w:rPr>
        <w:t>可复用结论：真正有价值的不是一次性播放量，而是能持续沉淀粉丝、内容结构和品牌识别的海外账号资产。</w:t>
      </w:r>
    </w:p>
    <w:p>
      <w:pPr>
        <w:spacing w:before="80" w:after="80" w:line="264" w:lineRule="auto"/>
        <w:keepNext/>
      </w:pPr>
      <w:r>
        <w:rPr>
          <w:rFonts w:ascii="Calibri" w:hAnsi="Calibri" w:eastAsia="PingFang SC"/>
          <w:b w:val="0"/>
          <w:i/>
          <w:color w:val="636F84"/>
          <w:sz w:val="19"/>
        </w:rPr>
        <w:t>图 8：AI IP 账号矩阵和品牌留量资产案例，重点是从买流量走向造留量。</w:t>
      </w:r>
    </w:p>
    <w:p>
      <w:pPr>
        <w:spacing w:after="200"/>
        <w:jc w:val="center"/>
      </w:pPr>
      <w:r>
        <w:drawing>
          <wp:inline xmlns:a="http://schemas.openxmlformats.org/drawingml/2006/main" xmlns:pic="http://schemas.openxmlformats.org/drawingml/2006/picture">
            <wp:extent cx="5806440" cy="3269864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8_case_05_account_asset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806440" cy="326986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pStyle w:val="Heading1"/>
        <w:keepNext/>
        <w:spacing w:before="320" w:after="160"/>
      </w:pPr>
      <w:r>
        <w:rPr>
          <w:rFonts w:ascii="Calibri" w:hAnsi="Calibri" w:eastAsia="PingFang SC"/>
          <w:b/>
          <w:color w:val="2E74B5"/>
          <w:sz w:val="32"/>
        </w:rPr>
        <w:t>4. 服务品牌与适用客户</w:t>
      </w:r>
    </w:p>
    <w:p>
      <w:pPr>
        <w:spacing w:before="0" w:after="120" w:line="264" w:lineRule="auto"/>
      </w:pPr>
      <w:r>
        <w:rPr>
          <w:rFonts w:ascii="Calibri" w:hAnsi="Calibri" w:eastAsia="PingFang SC"/>
          <w:b w:val="0"/>
          <w:i w:val="0"/>
          <w:color w:val="464F60"/>
          <w:sz w:val="22"/>
        </w:rPr>
        <w:t>截图中的品牌矩阵用于说明服务经验覆盖面：既有跨境电商和平台类客户，也有消费品、家居、健康、工具、宠物、玩具、智能硬件等不同品类。对外沟通时，这一页的价值不是简单罗列 Logo，而是说明系统不是只适用于单一行业，而是可迁移到多 SKU、多场景、多市场的内容增长问题。</w:t>
      </w:r>
    </w:p>
    <w:tbl>
      <w:tblPr>
        <w:tblStyle w:val="TableGrid"/>
        <w:tblW w:type="dxa" w:w="9360"/>
        <w:jc w:val="left"/>
        <w:tblLayout w:type="fixed"/>
        <w:tblLook w:firstColumn="1" w:firstRow="1" w:lastColumn="0" w:lastRow="0" w:noHBand="0" w:noVBand="1" w:val="04A0"/>
        <w:tblInd w:type="dxa" w:w="120"/>
      </w:tblPr>
      <w:tblGrid>
        <w:gridCol w:w="2700"/>
        <w:gridCol w:w="6660"/>
      </w:tblGrid>
      <w:tr>
        <w:tc>
          <w:tcPr>
            <w:tcW w:type="dxa" w:w="270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  <w:shd w:fill="F2F4F7"/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/>
                <w:color w:val="12223E"/>
                <w:sz w:val="20"/>
              </w:rPr>
              <w:t>可见品牌类型</w:t>
            </w:r>
          </w:p>
        </w:tc>
        <w:tc>
          <w:tcPr>
            <w:tcW w:type="dxa" w:w="666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20"/>
              </w:rPr>
              <w:t>平台/电商：淘宝、Lazada、阿里巴巴国际站；消费与家居：Bedsure、Dreame、UGREEN 绿联、OdinLake；健康与医药：以岭药业、MediTrust；玩具/工具/其他：52TOYS、Dr.flash、PASCAL、360、易点天下等。</w:t>
            </w:r>
          </w:p>
        </w:tc>
      </w:tr>
      <w:tr>
        <w:tc>
          <w:tcPr>
            <w:tcW w:type="dxa" w:w="270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  <w:shd w:fill="F2F4F7"/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/>
                <w:color w:val="12223E"/>
                <w:sz w:val="20"/>
              </w:rPr>
              <w:t>适用客户画像</w:t>
            </w:r>
          </w:p>
        </w:tc>
        <w:tc>
          <w:tcPr>
            <w:tcW w:type="dxa" w:w="666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20"/>
              </w:rPr>
              <w:t>已有 TikTok Shop、DTC 或跨境电商业务，但内部短视频产能不足、脚本不稳、更新压力大，或希望长期沉淀海外账号资产的品牌方/卖家。</w:t>
            </w:r>
          </w:p>
        </w:tc>
      </w:tr>
      <w:tr>
        <w:tc>
          <w:tcPr>
            <w:tcW w:type="dxa" w:w="270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  <w:shd w:fill="F2F4F7"/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/>
                <w:color w:val="12223E"/>
                <w:sz w:val="20"/>
              </w:rPr>
              <w:t>销售表达重点</w:t>
            </w:r>
          </w:p>
        </w:tc>
        <w:tc>
          <w:tcPr>
            <w:tcW w:type="dxa" w:w="666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20"/>
              </w:rPr>
              <w:t>不要只强调“能做视频”，要强调“能做可测试、可复盘、可复制、可沉淀的内容增长系统”。</w:t>
            </w:r>
          </w:p>
        </w:tc>
      </w:tr>
    </w:tbl>
    <w:p>
      <w:pPr>
        <w:spacing w:before="0" w:after="80" w:line="264" w:lineRule="auto"/>
      </w:pPr>
    </w:p>
    <w:p>
      <w:pPr>
        <w:spacing w:before="80" w:after="80" w:line="264" w:lineRule="auto"/>
        <w:keepNext/>
      </w:pPr>
      <w:r>
        <w:rPr>
          <w:rFonts w:ascii="Calibri" w:hAnsi="Calibri" w:eastAsia="PingFang SC"/>
          <w:b w:val="0"/>
          <w:i/>
          <w:color w:val="636F84"/>
          <w:sz w:val="19"/>
        </w:rPr>
        <w:t>图 9：截图中可见的服务品牌矩阵，覆盖跨境电商、消费品、健康、平台与工具类客户。</w:t>
      </w:r>
    </w:p>
    <w:p>
      <w:pPr>
        <w:spacing w:after="200"/>
        <w:jc w:val="center"/>
      </w:pPr>
      <w:r>
        <w:drawing>
          <wp:inline xmlns:a="http://schemas.openxmlformats.org/drawingml/2006/main" xmlns:pic="http://schemas.openxmlformats.org/drawingml/2006/picture">
            <wp:extent cx="5806440" cy="3269864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9_brand_clients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806440" cy="326986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1"/>
        <w:keepNext/>
        <w:spacing w:before="320" w:after="160"/>
      </w:pPr>
      <w:r>
        <w:rPr>
          <w:rFonts w:ascii="Calibri" w:hAnsi="Calibri" w:eastAsia="PingFang SC"/>
          <w:b/>
          <w:color w:val="2E74B5"/>
          <w:sz w:val="32"/>
        </w:rPr>
        <w:t>5. 三层交付结构：从验证到年度增长系统</w:t>
      </w:r>
    </w:p>
    <w:p>
      <w:pPr>
        <w:spacing w:before="0" w:after="120" w:line="264" w:lineRule="auto"/>
      </w:pPr>
      <w:r>
        <w:rPr>
          <w:rFonts w:ascii="Calibri" w:hAnsi="Calibri" w:eastAsia="PingFang SC"/>
          <w:b w:val="0"/>
          <w:i w:val="0"/>
          <w:color w:val="464F60"/>
          <w:sz w:val="22"/>
        </w:rPr>
        <w:t>三层交付结构把客户从低门槛体验带到年度增长合作：先让客户看到内容质量，再通过 100 条测试包给出增长判断，最后用年度 OS 把内容增长做成资产化工程。这套结构的关键是每一层都回答不同决策问题。</w:t>
      </w:r>
    </w:p>
    <w:tbl>
      <w:tblPr>
        <w:tblStyle w:val="TableGrid"/>
        <w:tblW w:type="dxa" w:w="9360"/>
        <w:tblLayout w:type="fixed"/>
        <w:tblLook w:firstColumn="1" w:firstRow="1" w:lastColumn="0" w:lastRow="0" w:noHBand="0" w:noVBand="1" w:val="04A0"/>
        <w:jc w:val="left"/>
        <w:tblInd w:type="dxa" w:w="120"/>
      </w:tblPr>
      <w:tblGrid>
        <w:gridCol w:w="2160"/>
        <w:gridCol w:w="3744"/>
        <w:gridCol w:w="3456"/>
      </w:tblGrid>
      <w:tr>
        <w:tc>
          <w:tcPr>
            <w:tcW w:type="dxa" w:w="216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  <w:shd w:fill="E8EEF5"/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/>
                <w:color w:val="12223E"/>
                <w:sz w:val="20"/>
              </w:rPr>
              <w:t>层级</w:t>
            </w:r>
          </w:p>
        </w:tc>
        <w:tc>
          <w:tcPr>
            <w:tcW w:type="dxa" w:w="3744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  <w:shd w:fill="E8EEF5"/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/>
                <w:color w:val="12223E"/>
                <w:sz w:val="20"/>
              </w:rPr>
              <w:t>客户拿到什么</w:t>
            </w:r>
          </w:p>
        </w:tc>
        <w:tc>
          <w:tcPr>
            <w:tcW w:type="dxa" w:w="3456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  <w:shd w:fill="E8EEF5"/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/>
                <w:color w:val="12223E"/>
                <w:sz w:val="20"/>
              </w:rPr>
              <w:t>这一层解决什么决策</w:t>
            </w:r>
          </w:p>
        </w:tc>
      </w:tr>
      <w:tr>
        <w:tc>
          <w:tcPr>
            <w:tcW w:type="dxa" w:w="216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19"/>
              </w:rPr>
              <w:t>免费样片验证</w:t>
            </w:r>
          </w:p>
        </w:tc>
        <w:tc>
          <w:tcPr>
            <w:tcW w:type="dxa" w:w="3744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19"/>
              </w:rPr>
              <w:t>1-3 条样片、产品理解、脚本表达、AI 视频质感、本土化方向。</w:t>
            </w:r>
          </w:p>
        </w:tc>
        <w:tc>
          <w:tcPr>
            <w:tcW w:type="dxa" w:w="3456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19"/>
              </w:rPr>
              <w:t>判断内容质量，不用于判断最终增长效果。</w:t>
            </w:r>
          </w:p>
        </w:tc>
      </w:tr>
      <w:tr>
        <w:tc>
          <w:tcPr>
            <w:tcW w:type="dxa" w:w="216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19"/>
              </w:rPr>
              <w:t>100 条增长测试包</w:t>
            </w:r>
          </w:p>
        </w:tc>
        <w:tc>
          <w:tcPr>
            <w:tcW w:type="dxa" w:w="3744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19"/>
              </w:rPr>
              <w:t>产品深度调研、心智线索挖掘、矩阵脚本设计、高质量 AI 视频生成、分批测试、数据复盘。</w:t>
            </w:r>
          </w:p>
        </w:tc>
        <w:tc>
          <w:tcPr>
            <w:tcW w:type="dxa" w:w="3456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19"/>
              </w:rPr>
              <w:t>判断哪些心智线索更有效、哪些场景更值得放大、哪些开头更能停留和转化。</w:t>
            </w:r>
          </w:p>
        </w:tc>
      </w:tr>
      <w:tr>
        <w:tc>
          <w:tcPr>
            <w:tcW w:type="dxa" w:w="216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19"/>
              </w:rPr>
              <w:t>年度 AI 内容增长放大器</w:t>
            </w:r>
          </w:p>
        </w:tc>
        <w:tc>
          <w:tcPr>
            <w:tcW w:type="dxa" w:w="3744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19"/>
              </w:rPr>
              <w:t>多 SKU 深度调研与内容策略规划、长期 AI 视频素材供应、高表现脚本结构复刻、持续数据复盘、视频提示词迭代、品牌内容变量库沉淀。</w:t>
            </w:r>
          </w:p>
        </w:tc>
        <w:tc>
          <w:tcPr>
            <w:tcW w:type="dxa" w:w="3456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19"/>
              </w:rPr>
              <w:t>把“更多视频”改成“更好的内容增长决策”，形成厚内容资产。</w:t>
            </w:r>
          </w:p>
        </w:tc>
      </w:tr>
    </w:tbl>
    <w:p>
      <w:pPr>
        <w:spacing w:before="0" w:after="120" w:line="264" w:lineRule="auto"/>
      </w:pPr>
    </w:p>
    <w:tbl>
      <w:tblPr>
        <w:tblStyle w:val="TableGrid"/>
        <w:tblW w:type="dxa" w:w="9360"/>
        <w:jc w:val="left"/>
        <w:tblLayout w:type="fixed"/>
        <w:tblLook w:firstColumn="1" w:firstRow="1" w:lastColumn="0" w:lastRow="0" w:noHBand="0" w:noVBand="1" w:val="04A0"/>
        <w:tblInd w:type="dxa" w:w="120"/>
      </w:tblPr>
      <w:tblGrid>
        <w:gridCol w:w="9360"/>
      </w:tblGrid>
      <w:tr>
        <w:tc>
          <w:tcPr>
            <w:tcW w:type="dxa" w:w="936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  <w:shd w:fill="E6F6EF"/>
          </w:tcPr>
          <w:p>
            <w:pPr>
              <w:spacing w:before="40" w:after="60"/>
            </w:pPr>
            <w:r/>
            <w:r>
              <w:rPr>
                <w:rFonts w:ascii="Calibri" w:hAnsi="Calibri" w:eastAsia="PingFang SC"/>
                <w:b/>
                <w:color w:val="12223E"/>
                <w:sz w:val="21"/>
              </w:rPr>
              <w:t>交付逻辑</w:t>
            </w:r>
          </w:p>
          <w:p>
            <w:pPr>
              <w:spacing w:after="40" w:line="274" w:lineRule="auto"/>
            </w:pPr>
            <w:r>
              <w:rPr>
                <w:rFonts w:ascii="Calibri" w:hAnsi="Calibri" w:eastAsia="PingFang SC"/>
                <w:color w:val="464F60"/>
                <w:sz w:val="21"/>
              </w:rPr>
              <w:t>始终不是“做更多视频”，而是让品牌的增长决策越来越准、内容资产越来越扎实。样片验证内容质量，测试包验证增长方向，年度 OS 沉淀长期方法和资产。</w:t>
            </w:r>
          </w:p>
        </w:tc>
      </w:tr>
    </w:tbl>
    <w:p>
      <w:pPr>
        <w:spacing w:before="0" w:after="120" w:line="264" w:lineRule="auto"/>
      </w:pPr>
    </w:p>
    <w:p>
      <w:pPr>
        <w:spacing w:before="80" w:after="80" w:line="264" w:lineRule="auto"/>
        <w:keepNext/>
      </w:pPr>
      <w:r>
        <w:rPr>
          <w:rFonts w:ascii="Calibri" w:hAnsi="Calibri" w:eastAsia="PingFang SC"/>
          <w:b w:val="0"/>
          <w:i/>
          <w:color w:val="636F84"/>
          <w:sz w:val="19"/>
        </w:rPr>
        <w:t>图 10：从免费样片、100 条增长测试包到年度 AI 内容增长放大器的分层交付。</w:t>
      </w:r>
    </w:p>
    <w:p>
      <w:pPr>
        <w:spacing w:after="200"/>
        <w:jc w:val="center"/>
      </w:pPr>
      <w:r>
        <w:drawing>
          <wp:inline xmlns:a="http://schemas.openxmlformats.org/drawingml/2006/main" xmlns:pic="http://schemas.openxmlformats.org/drawingml/2006/picture">
            <wp:extent cx="5806440" cy="3269864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0_delivery_structure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806440" cy="326986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1"/>
        <w:keepNext/>
        <w:spacing w:before="320" w:after="160"/>
      </w:pPr>
      <w:r>
        <w:rPr>
          <w:rFonts w:ascii="Calibri" w:hAnsi="Calibri" w:eastAsia="PingFang SC"/>
          <w:b/>
          <w:color w:val="2E74B5"/>
          <w:sz w:val="32"/>
        </w:rPr>
        <w:t>6. 两类专项增长产品：持续产能与长期留量</w:t>
      </w:r>
    </w:p>
    <w:p>
      <w:pPr>
        <w:spacing w:before="0" w:after="120" w:line="264" w:lineRule="auto"/>
      </w:pPr>
      <w:r>
        <w:rPr>
          <w:rFonts w:ascii="Calibri" w:hAnsi="Calibri" w:eastAsia="PingFang SC"/>
          <w:b w:val="0"/>
          <w:i w:val="0"/>
          <w:color w:val="464F60"/>
          <w:sz w:val="22"/>
        </w:rPr>
        <w:t>在年度增长服务之外，清奈提供两类专项增长产品，分别解决内容产能与内容资产两个问题。一个偏向持续生产和运营交付，一个偏向账号资产和粉丝沉淀。</w:t>
      </w:r>
    </w:p>
    <w:p>
      <w:pPr>
        <w:pStyle w:val="Heading3"/>
        <w:keepNext/>
        <w:spacing w:before="160" w:after="80"/>
      </w:pPr>
      <w:r>
        <w:rPr>
          <w:rFonts w:ascii="Calibri" w:hAnsi="Calibri" w:eastAsia="PingFang SC"/>
          <w:b/>
          <w:color w:val="1F4D78"/>
          <w:sz w:val="24"/>
        </w:rPr>
        <w:t>6.1 短视频内容团队外包</w:t>
      </w:r>
    </w:p>
    <w:tbl>
      <w:tblPr>
        <w:tblStyle w:val="TableGrid"/>
        <w:tblW w:type="dxa" w:w="9360"/>
        <w:jc w:val="left"/>
        <w:tblLayout w:type="fixed"/>
        <w:tblLook w:firstColumn="1" w:firstRow="1" w:lastColumn="0" w:lastRow="0" w:noHBand="0" w:noVBand="1" w:val="04A0"/>
        <w:tblInd w:type="dxa" w:w="120"/>
      </w:tblPr>
      <w:tblGrid>
        <w:gridCol w:w="2700"/>
        <w:gridCol w:w="6660"/>
      </w:tblGrid>
      <w:tr>
        <w:tc>
          <w:tcPr>
            <w:tcW w:type="dxa" w:w="270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  <w:shd w:fill="FCE8E8"/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/>
                <w:color w:val="12223E"/>
                <w:sz w:val="20"/>
              </w:rPr>
              <w:t>适合客户</w:t>
            </w:r>
          </w:p>
        </w:tc>
        <w:tc>
          <w:tcPr>
            <w:tcW w:type="dxa" w:w="666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20"/>
              </w:rPr>
              <w:t>已有 TikTok Shop / DTC / 跨境电商业务，但内部短视频产能不足、脚本不稳、更新压力大的品牌方或卖家。</w:t>
            </w:r>
          </w:p>
        </w:tc>
      </w:tr>
      <w:tr>
        <w:tc>
          <w:tcPr>
            <w:tcW w:type="dxa" w:w="270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  <w:shd w:fill="FCE8E8"/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/>
                <w:color w:val="12223E"/>
                <w:sz w:val="20"/>
              </w:rPr>
              <w:t>产品定位</w:t>
            </w:r>
          </w:p>
        </w:tc>
        <w:tc>
          <w:tcPr>
            <w:tcW w:type="dxa" w:w="666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20"/>
              </w:rPr>
              <w:t>不只交付素材，而是作为品牌的外部短视频内容团队，承接策划、生产、渠道号运营和达人号补充全链路。</w:t>
            </w:r>
          </w:p>
        </w:tc>
      </w:tr>
      <w:tr>
        <w:tc>
          <w:tcPr>
            <w:tcW w:type="dxa" w:w="270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  <w:shd w:fill="FCE8E8"/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/>
                <w:color w:val="12223E"/>
                <w:sz w:val="20"/>
              </w:rPr>
              <w:t>交付内容</w:t>
            </w:r>
          </w:p>
        </w:tc>
        <w:tc>
          <w:tcPr>
            <w:tcW w:type="dxa" w:w="666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20"/>
              </w:rPr>
              <w:t>短视频内容策略、商品卖点与脚本策划、原创实拍/AI 素材、渠道号内容代运营、达人号内容补充、发布节奏规划、爆款脚本复刻、数据复盘与内容调整。</w:t>
            </w:r>
          </w:p>
        </w:tc>
      </w:tr>
      <w:tr>
        <w:tc>
          <w:tcPr>
            <w:tcW w:type="dxa" w:w="270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  <w:shd w:fill="FCE8E8"/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/>
                <w:color w:val="12223E"/>
                <w:sz w:val="20"/>
              </w:rPr>
              <w:t>客户获得</w:t>
            </w:r>
          </w:p>
        </w:tc>
        <w:tc>
          <w:tcPr>
            <w:tcW w:type="dxa" w:w="666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20"/>
              </w:rPr>
              <w:t>一支可持续调用的外部内容团队，稳定产出、测试和优化，而不只是补充视频产能。</w:t>
            </w:r>
          </w:p>
        </w:tc>
      </w:tr>
    </w:tbl>
    <w:p>
      <w:pPr>
        <w:spacing w:before="0" w:after="80" w:line="264" w:lineRule="auto"/>
      </w:pPr>
    </w:p>
    <w:p>
      <w:r>
        <w:br w:type="page"/>
      </w:r>
    </w:p>
    <w:p>
      <w:pPr>
        <w:pStyle w:val="Heading3"/>
        <w:keepNext/>
        <w:spacing w:before="160" w:after="80"/>
      </w:pPr>
      <w:r>
        <w:rPr>
          <w:rFonts w:ascii="Calibri" w:hAnsi="Calibri" w:eastAsia="PingFang SC"/>
          <w:b/>
          <w:color w:val="1F4D78"/>
          <w:sz w:val="24"/>
        </w:rPr>
        <w:t>6.2 AI IP 账号资产孵化</w:t>
      </w:r>
    </w:p>
    <w:tbl>
      <w:tblPr>
        <w:tblStyle w:val="TableGrid"/>
        <w:tblW w:type="dxa" w:w="9360"/>
        <w:jc w:val="left"/>
        <w:tblLayout w:type="fixed"/>
        <w:tblLook w:firstColumn="1" w:firstRow="1" w:lastColumn="0" w:lastRow="0" w:noHBand="0" w:noVBand="1" w:val="04A0"/>
        <w:tblInd w:type="dxa" w:w="120"/>
      </w:tblPr>
      <w:tblGrid>
        <w:gridCol w:w="2700"/>
        <w:gridCol w:w="6660"/>
      </w:tblGrid>
      <w:tr>
        <w:tc>
          <w:tcPr>
            <w:tcW w:type="dxa" w:w="270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  <w:shd w:fill="E8EEF5"/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/>
                <w:color w:val="12223E"/>
                <w:sz w:val="20"/>
              </w:rPr>
              <w:t>适合客户</w:t>
            </w:r>
          </w:p>
        </w:tc>
        <w:tc>
          <w:tcPr>
            <w:tcW w:type="dxa" w:w="666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20"/>
              </w:rPr>
              <w:t>平台型客户、DTC 品牌、AI 工具品牌，以及希望长期沉淀海外账号资产的品牌方。</w:t>
            </w:r>
          </w:p>
        </w:tc>
      </w:tr>
      <w:tr>
        <w:tc>
          <w:tcPr>
            <w:tcW w:type="dxa" w:w="270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  <w:shd w:fill="E8EEF5"/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/>
                <w:color w:val="12223E"/>
                <w:sz w:val="20"/>
              </w:rPr>
              <w:t>产品定位</w:t>
            </w:r>
          </w:p>
        </w:tc>
        <w:tc>
          <w:tcPr>
            <w:tcW w:type="dxa" w:w="666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20"/>
              </w:rPr>
              <w:t>从“买流量”升级为“造留量”，沉淀可持续运营的海外内容阵地和账号资产。</w:t>
            </w:r>
          </w:p>
        </w:tc>
      </w:tr>
      <w:tr>
        <w:tc>
          <w:tcPr>
            <w:tcW w:type="dxa" w:w="270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  <w:shd w:fill="E8EEF5"/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/>
                <w:color w:val="12223E"/>
                <w:sz w:val="20"/>
              </w:rPr>
              <w:t>交付内容</w:t>
            </w:r>
          </w:p>
        </w:tc>
        <w:tc>
          <w:tcPr>
            <w:tcW w:type="dxa" w:w="666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20"/>
              </w:rPr>
              <w:t>AI IP 人设设计、同一张 AI 脸/同一形象、账号定位与栏目设计、多账号矩阵搭建、视频持续生产、数据赛马、爆款内容复刻、粉丝增长复盘、账号资产交付。</w:t>
            </w:r>
          </w:p>
        </w:tc>
      </w:tr>
      <w:tr>
        <w:tc>
          <w:tcPr>
            <w:tcW w:type="dxa" w:w="270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  <w:shd w:fill="E8EEF5"/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/>
                <w:color w:val="12223E"/>
                <w:sz w:val="20"/>
              </w:rPr>
              <w:t>客户获得</w:t>
            </w:r>
          </w:p>
        </w:tc>
        <w:tc>
          <w:tcPr>
            <w:tcW w:type="dxa" w:w="666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20"/>
              </w:rPr>
              <w:t>可持续沉淀粉丝、内容结构和品牌识别的海外账号资产，而不只是短期播放量。</w:t>
            </w:r>
          </w:p>
        </w:tc>
      </w:tr>
    </w:tbl>
    <w:p>
      <w:pPr>
        <w:spacing w:before="0" w:after="80" w:line="264" w:lineRule="auto"/>
      </w:pPr>
    </w:p>
    <w:tbl>
      <w:tblPr>
        <w:tblStyle w:val="TableGrid"/>
        <w:tblW w:type="dxa" w:w="9360"/>
        <w:jc w:val="left"/>
        <w:tblLayout w:type="fixed"/>
        <w:tblLook w:firstColumn="1" w:firstRow="1" w:lastColumn="0" w:lastRow="0" w:noHBand="0" w:noVBand="1" w:val="04A0"/>
        <w:tblInd w:type="dxa" w:w="120"/>
      </w:tblPr>
      <w:tblGrid>
        <w:gridCol w:w="9360"/>
      </w:tblGrid>
      <w:tr>
        <w:tc>
          <w:tcPr>
            <w:tcW w:type="dxa" w:w="936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  <w:shd w:fill="FFF4D6"/>
          </w:tcPr>
          <w:p>
            <w:pPr>
              <w:spacing w:before="40" w:after="60"/>
            </w:pPr>
            <w:r/>
            <w:r>
              <w:rPr>
                <w:rFonts w:ascii="Calibri" w:hAnsi="Calibri" w:eastAsia="PingFang SC"/>
                <w:b/>
                <w:color w:val="12223E"/>
                <w:sz w:val="21"/>
              </w:rPr>
              <w:t>双轨价值</w:t>
            </w:r>
          </w:p>
          <w:p>
            <w:pPr>
              <w:spacing w:after="40" w:line="274" w:lineRule="auto"/>
            </w:pPr>
            <w:r>
              <w:rPr>
                <w:rFonts w:ascii="Calibri" w:hAnsi="Calibri" w:eastAsia="PingFang SC"/>
                <w:color w:val="464F60"/>
                <w:sz w:val="21"/>
              </w:rPr>
              <w:t>外包团队解决“持续产能”，AI IP 孵化解决“长期留量”。两者合在一起，客户同时拥有内容产能和内容资产。</w:t>
            </w:r>
          </w:p>
        </w:tc>
      </w:tr>
    </w:tbl>
    <w:p>
      <w:pPr>
        <w:spacing w:before="0" w:after="120" w:line="264" w:lineRule="auto"/>
      </w:pPr>
    </w:p>
    <w:p>
      <w:pPr>
        <w:spacing w:before="80" w:after="80" w:line="264" w:lineRule="auto"/>
        <w:keepNext/>
      </w:pPr>
      <w:r>
        <w:rPr>
          <w:rFonts w:ascii="Calibri" w:hAnsi="Calibri" w:eastAsia="PingFang SC"/>
          <w:b w:val="0"/>
          <w:i/>
          <w:color w:val="636F84"/>
          <w:sz w:val="19"/>
        </w:rPr>
        <w:t>图 11：短视频内容团队外包与 AI IP 账号资产孵化，对应持续产能与长期留量。</w:t>
      </w:r>
    </w:p>
    <w:p>
      <w:pPr>
        <w:spacing w:after="200"/>
        <w:jc w:val="center"/>
      </w:pPr>
      <w:r>
        <w:drawing>
          <wp:inline xmlns:a="http://schemas.openxmlformats.org/drawingml/2006/main" xmlns:pic="http://schemas.openxmlformats.org/drawingml/2006/picture">
            <wp:extent cx="5806440" cy="3269864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1_special_offers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806440" cy="326986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1"/>
        <w:keepNext/>
        <w:spacing w:before="320" w:after="160"/>
      </w:pPr>
      <w:r>
        <w:rPr>
          <w:rFonts w:ascii="Calibri" w:hAnsi="Calibri" w:eastAsia="PingFang SC"/>
          <w:b/>
          <w:color w:val="2E74B5"/>
          <w:sz w:val="32"/>
        </w:rPr>
        <w:t>7. 落地使用建议：如何把材料转成客户沟通与项目推进</w:t>
      </w:r>
    </w:p>
    <w:p>
      <w:pPr>
        <w:spacing w:before="0" w:after="120" w:line="264" w:lineRule="auto"/>
      </w:pPr>
      <w:r>
        <w:rPr>
          <w:rFonts w:ascii="Calibri" w:hAnsi="Calibri" w:eastAsia="PingFang SC"/>
          <w:b w:val="0"/>
          <w:i w:val="0"/>
          <w:color w:val="464F60"/>
          <w:sz w:val="22"/>
        </w:rPr>
        <w:t>为了让这份整理文档可直接服务销售、方案和交付，建议按以下方式使用：前半部分用于解释系统能力，案例部分用于匹配客户痛点，交付结构用于推进合作选择。</w:t>
      </w:r>
    </w:p>
    <w:tbl>
      <w:tblPr>
        <w:tblStyle w:val="TableGrid"/>
        <w:tblW w:type="dxa" w:w="9360"/>
        <w:tblLayout w:type="fixed"/>
        <w:tblLook w:firstColumn="1" w:firstRow="1" w:lastColumn="0" w:lastRow="0" w:noHBand="0" w:noVBand="1" w:val="04A0"/>
        <w:jc w:val="left"/>
        <w:tblInd w:type="dxa" w:w="120"/>
      </w:tblPr>
      <w:tblGrid>
        <w:gridCol w:w="2520"/>
        <w:gridCol w:w="3744"/>
        <w:gridCol w:w="3096"/>
      </w:tblGrid>
      <w:tr>
        <w:tc>
          <w:tcPr>
            <w:tcW w:type="dxa" w:w="252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  <w:shd w:fill="E8EEF5"/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/>
                <w:color w:val="12223E"/>
                <w:sz w:val="20"/>
              </w:rPr>
              <w:t>客户问题</w:t>
            </w:r>
          </w:p>
        </w:tc>
        <w:tc>
          <w:tcPr>
            <w:tcW w:type="dxa" w:w="3744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  <w:shd w:fill="E8EEF5"/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/>
                <w:color w:val="12223E"/>
                <w:sz w:val="20"/>
              </w:rPr>
              <w:t>优先引用内容</w:t>
            </w:r>
          </w:p>
        </w:tc>
        <w:tc>
          <w:tcPr>
            <w:tcW w:type="dxa" w:w="3096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  <w:shd w:fill="E8EEF5"/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/>
                <w:color w:val="12223E"/>
                <w:sz w:val="20"/>
              </w:rPr>
              <w:t>推荐切入产品</w:t>
            </w:r>
          </w:p>
        </w:tc>
      </w:tr>
      <w:tr>
        <w:tc>
          <w:tcPr>
            <w:tcW w:type="dxa" w:w="252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19"/>
              </w:rPr>
              <w:t>内容更新压力大、内部产能不足</w:t>
            </w:r>
          </w:p>
        </w:tc>
        <w:tc>
          <w:tcPr>
            <w:tcW w:type="dxa" w:w="3744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19"/>
              </w:rPr>
              <w:t>系统框架、三层交付、短视频团队外包</w:t>
            </w:r>
          </w:p>
        </w:tc>
        <w:tc>
          <w:tcPr>
            <w:tcW w:type="dxa" w:w="3096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19"/>
              </w:rPr>
              <w:t>短视频内容团队外包或年度 OS</w:t>
            </w:r>
          </w:p>
        </w:tc>
      </w:tr>
      <w:tr>
        <w:tc>
          <w:tcPr>
            <w:tcW w:type="dxa" w:w="252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19"/>
              </w:rPr>
              <w:t>老品卖点疲劳、广告感重</w:t>
            </w:r>
          </w:p>
        </w:tc>
        <w:tc>
          <w:tcPr>
            <w:tcW w:type="dxa" w:w="3744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19"/>
              </w:rPr>
              <w:t>案例 02 老品二次引爆、数据飞轮</w:t>
            </w:r>
          </w:p>
        </w:tc>
        <w:tc>
          <w:tcPr>
            <w:tcW w:type="dxa" w:w="3096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19"/>
              </w:rPr>
              <w:t>100 条增长测试包</w:t>
            </w:r>
          </w:p>
        </w:tc>
      </w:tr>
      <w:tr>
        <w:tc>
          <w:tcPr>
            <w:tcW w:type="dxa" w:w="252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19"/>
              </w:rPr>
              <w:t>新链接冷启动困难</w:t>
            </w:r>
          </w:p>
        </w:tc>
        <w:tc>
          <w:tcPr>
            <w:tcW w:type="dxa" w:w="3744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19"/>
              </w:rPr>
              <w:t>案例 03 热点语境融合、冷启动链路</w:t>
            </w:r>
          </w:p>
        </w:tc>
        <w:tc>
          <w:tcPr>
            <w:tcW w:type="dxa" w:w="3096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19"/>
              </w:rPr>
              <w:t>100 条增长测试包</w:t>
            </w:r>
          </w:p>
        </w:tc>
      </w:tr>
      <w:tr>
        <w:tc>
          <w:tcPr>
            <w:tcW w:type="dxa" w:w="252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19"/>
              </w:rPr>
              <w:t>不知道哪个场景/人群值得投</w:t>
            </w:r>
          </w:p>
        </w:tc>
        <w:tc>
          <w:tcPr>
            <w:tcW w:type="dxa" w:w="3744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19"/>
              </w:rPr>
              <w:t>案例 04A/04B 数据反馈与场景测试</w:t>
            </w:r>
          </w:p>
        </w:tc>
        <w:tc>
          <w:tcPr>
            <w:tcW w:type="dxa" w:w="3096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19"/>
              </w:rPr>
              <w:t>100 条增长测试包或年度 OS</w:t>
            </w:r>
          </w:p>
        </w:tc>
      </w:tr>
      <w:tr>
        <w:tc>
          <w:tcPr>
            <w:tcW w:type="dxa" w:w="252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19"/>
              </w:rPr>
              <w:t>希望沉淀海外粉丝和账号资产</w:t>
            </w:r>
          </w:p>
        </w:tc>
        <w:tc>
          <w:tcPr>
            <w:tcW w:type="dxa" w:w="3744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19"/>
              </w:rPr>
              <w:t>案例 05、AI IP 账号资产孵化</w:t>
            </w:r>
          </w:p>
        </w:tc>
        <w:tc>
          <w:tcPr>
            <w:tcW w:type="dxa" w:w="3096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19"/>
              </w:rPr>
              <w:t>AI IP 账号资产孵化</w:t>
            </w:r>
          </w:p>
        </w:tc>
      </w:tr>
    </w:tbl>
    <w:p>
      <w:pPr>
        <w:spacing w:before="0" w:after="120" w:line="264" w:lineRule="auto"/>
      </w:pPr>
    </w:p>
    <w:p>
      <w:pPr>
        <w:pStyle w:val="Heading2"/>
        <w:keepNext/>
        <w:spacing w:before="240" w:after="120"/>
      </w:pPr>
      <w:r>
        <w:rPr>
          <w:rFonts w:ascii="Calibri" w:hAnsi="Calibri" w:eastAsia="PingFang SC"/>
          <w:b/>
          <w:color w:val="2E74B5"/>
          <w:sz w:val="26"/>
        </w:rPr>
        <w:t>客户调研清单</w:t>
      </w:r>
    </w:p>
    <w:p>
      <w:pPr>
        <w:pStyle w:val="ListBullet"/>
        <w:spacing w:after="160" w:line="280" w:lineRule="auto"/>
        <w:ind w:left="720" w:hanging="360"/>
      </w:pPr>
      <w:r>
        <w:rPr>
          <w:rFonts w:ascii="Calibri" w:hAnsi="Calibri" w:eastAsia="PingFang SC"/>
          <w:color w:val="464F60"/>
          <w:sz w:val="22"/>
        </w:rPr>
        <w:t>商品信息：品类、SKU 数量、核心卖点、价格带、毛利空间、库存和物流限制。</w:t>
      </w:r>
    </w:p>
    <w:p>
      <w:pPr>
        <w:pStyle w:val="ListBullet"/>
        <w:spacing w:after="160" w:line="280" w:lineRule="auto"/>
        <w:ind w:left="720" w:hanging="360"/>
      </w:pPr>
      <w:r>
        <w:rPr>
          <w:rFonts w:ascii="Calibri" w:hAnsi="Calibri" w:eastAsia="PingFang SC"/>
          <w:color w:val="464F60"/>
          <w:sz w:val="22"/>
        </w:rPr>
        <w:t>市场与平台：目标国家、TikTok Shop / DTC / 亚马逊等销售渠道、当前账号状态、是否有历史素材与投放数据。</w:t>
      </w:r>
    </w:p>
    <w:p>
      <w:pPr>
        <w:pStyle w:val="ListBullet"/>
        <w:spacing w:after="160" w:line="280" w:lineRule="auto"/>
        <w:ind w:left="720" w:hanging="360"/>
      </w:pPr>
      <w:r>
        <w:rPr>
          <w:rFonts w:ascii="Calibri" w:hAnsi="Calibri" w:eastAsia="PingFang SC"/>
          <w:color w:val="464F60"/>
          <w:sz w:val="22"/>
        </w:rPr>
        <w:t>内容现状：过去爆过什么、哪些内容失效、脚本是否稳定、更新频率、素材来源和达人合作情况。</w:t>
      </w:r>
    </w:p>
    <w:p>
      <w:pPr>
        <w:pStyle w:val="ListBullet"/>
        <w:spacing w:after="160" w:line="280" w:lineRule="auto"/>
        <w:ind w:left="720" w:hanging="360"/>
      </w:pPr>
      <w:r>
        <w:rPr>
          <w:rFonts w:ascii="Calibri" w:hAnsi="Calibri" w:eastAsia="PingFang SC"/>
          <w:color w:val="464F60"/>
          <w:sz w:val="22"/>
        </w:rPr>
        <w:t>增长瓶颈：缺产能、缺脚本、缺本土化表达、缺测试方法、缺账号资产，还是缺数据复盘。</w:t>
      </w:r>
    </w:p>
    <w:p>
      <w:pPr>
        <w:pStyle w:val="ListBullet"/>
        <w:spacing w:after="160" w:line="280" w:lineRule="auto"/>
        <w:ind w:left="720" w:hanging="360"/>
      </w:pPr>
      <w:r>
        <w:rPr>
          <w:rFonts w:ascii="Calibri" w:hAnsi="Calibri" w:eastAsia="PingFang SC"/>
          <w:color w:val="464F60"/>
          <w:sz w:val="22"/>
        </w:rPr>
        <w:t>可用资源：是否能提供产品样品、真人素材、历史评论、客服反馈、用户评价和投放后台数据。</w:t>
      </w:r>
    </w:p>
    <w:p>
      <w:r>
        <w:br w:type="page"/>
      </w:r>
    </w:p>
    <w:p>
      <w:pPr>
        <w:pStyle w:val="Heading2"/>
        <w:keepNext/>
        <w:spacing w:before="240" w:after="120"/>
      </w:pPr>
      <w:r>
        <w:rPr>
          <w:rFonts w:ascii="Calibri" w:hAnsi="Calibri" w:eastAsia="PingFang SC"/>
          <w:b/>
          <w:color w:val="2E74B5"/>
          <w:sz w:val="26"/>
        </w:rPr>
        <w:t>30/60/90 天推进建议</w:t>
      </w:r>
    </w:p>
    <w:tbl>
      <w:tblPr>
        <w:tblStyle w:val="TableGrid"/>
        <w:tblW w:type="dxa" w:w="9360"/>
        <w:tblLayout w:type="fixed"/>
        <w:tblLook w:firstColumn="1" w:firstRow="1" w:lastColumn="0" w:lastRow="0" w:noHBand="0" w:noVBand="1" w:val="04A0"/>
        <w:jc w:val="left"/>
        <w:tblInd w:type="dxa" w:w="120"/>
      </w:tblPr>
      <w:tblGrid>
        <w:gridCol w:w="1584"/>
        <w:gridCol w:w="4320"/>
        <w:gridCol w:w="3456"/>
      </w:tblGrid>
      <w:tr>
        <w:tc>
          <w:tcPr>
            <w:tcW w:type="dxa" w:w="1584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  <w:shd w:fill="E8EEF5"/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/>
                <w:color w:val="12223E"/>
                <w:sz w:val="20"/>
              </w:rPr>
              <w:t>阶段</w:t>
            </w:r>
          </w:p>
        </w:tc>
        <w:tc>
          <w:tcPr>
            <w:tcW w:type="dxa" w:w="432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  <w:shd w:fill="E8EEF5"/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/>
                <w:color w:val="12223E"/>
                <w:sz w:val="20"/>
              </w:rPr>
              <w:t>重点动作</w:t>
            </w:r>
          </w:p>
        </w:tc>
        <w:tc>
          <w:tcPr>
            <w:tcW w:type="dxa" w:w="3456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  <w:shd w:fill="E8EEF5"/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/>
                <w:color w:val="12223E"/>
                <w:sz w:val="20"/>
              </w:rPr>
              <w:t>验收口径</w:t>
            </w:r>
          </w:p>
        </w:tc>
      </w:tr>
      <w:tr>
        <w:tc>
          <w:tcPr>
            <w:tcW w:type="dxa" w:w="1584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19"/>
              </w:rPr>
              <w:t>前 30 天</w:t>
            </w:r>
          </w:p>
        </w:tc>
        <w:tc>
          <w:tcPr>
            <w:tcW w:type="dxa" w:w="432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19"/>
              </w:rPr>
              <w:t>完成商品 DNA 解析、心智线索生成、样片/首批测试内容上线。</w:t>
            </w:r>
          </w:p>
        </w:tc>
        <w:tc>
          <w:tcPr>
            <w:tcW w:type="dxa" w:w="3456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19"/>
              </w:rPr>
              <w:t>不是看最终 GMV，而是看内容质量、方向覆盖、早期数据是否能区分有效线索。</w:t>
            </w:r>
          </w:p>
        </w:tc>
      </w:tr>
      <w:tr>
        <w:tc>
          <w:tcPr>
            <w:tcW w:type="dxa" w:w="1584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19"/>
              </w:rPr>
              <w:t>31-60 天</w:t>
            </w:r>
          </w:p>
        </w:tc>
        <w:tc>
          <w:tcPr>
            <w:tcW w:type="dxa" w:w="432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19"/>
              </w:rPr>
              <w:t>扩大矩阵测试，按 CTR、停留、互动、转化和评论反馈做专家复盘。</w:t>
            </w:r>
          </w:p>
        </w:tc>
        <w:tc>
          <w:tcPr>
            <w:tcW w:type="dxa" w:w="3456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19"/>
              </w:rPr>
              <w:t>找到 2-3 个值得放大的脚本结构、场景或触发点。</w:t>
            </w:r>
          </w:p>
        </w:tc>
      </w:tr>
      <w:tr>
        <w:tc>
          <w:tcPr>
            <w:tcW w:type="dxa" w:w="1584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19"/>
              </w:rPr>
              <w:t>61-90 天</w:t>
            </w:r>
          </w:p>
        </w:tc>
        <w:tc>
          <w:tcPr>
            <w:tcW w:type="dxa" w:w="4320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19"/>
              </w:rPr>
              <w:t>复刻有效结构，沉淀脚本、提示词、场景、账号栏目和复盘规则。</w:t>
            </w:r>
          </w:p>
        </w:tc>
        <w:tc>
          <w:tcPr>
            <w:tcW w:type="dxa" w:w="3456"/>
            <w:vAlign w:val="center"/>
            <w:tcMar>
              <w:top w:w="80" w:type="dxa"/>
              <w:start w:w="120" w:type="dxa"/>
              <w:bottom w:w="80" w:type="dxa"/>
              <w:end w:w="120" w:type="dxa"/>
            </w:tcMar>
          </w:tcPr>
          <w:p>
            <w:pPr>
              <w:spacing w:before="0" w:after="0" w:line="269" w:lineRule="auto"/>
            </w:pPr>
            <w:r/>
            <w:r>
              <w:rPr>
                <w:rFonts w:ascii="Calibri" w:hAnsi="Calibri" w:eastAsia="PingFang SC"/>
                <w:b w:val="0"/>
                <w:color w:val="464F60"/>
                <w:sz w:val="19"/>
              </w:rPr>
              <w:t>沉淀为下一轮可复制方法。</w:t>
            </w:r>
          </w:p>
        </w:tc>
      </w:tr>
    </w:tbl>
    <w:p>
      <w:pPr>
        <w:spacing w:before="0" w:after="120" w:line="264" w:lineRule="auto"/>
      </w:pPr>
    </w:p>
    <w:p>
      <w:pPr>
        <w:pStyle w:val="Heading2"/>
        <w:keepNext/>
        <w:spacing w:before="240" w:after="120"/>
      </w:pPr>
      <w:r>
        <w:rPr>
          <w:rFonts w:ascii="Calibri" w:hAnsi="Calibri" w:eastAsia="PingFang SC"/>
          <w:b/>
          <w:color w:val="2E74B5"/>
          <w:sz w:val="26"/>
        </w:rPr>
        <w:t>最终判断标准</w:t>
      </w:r>
    </w:p>
    <w:p>
      <w:pPr>
        <w:spacing w:before="0" w:after="0" w:line="264" w:lineRule="auto"/>
      </w:pPr>
      <w:r>
        <w:rPr>
          <w:rFonts w:ascii="Calibri" w:hAnsi="Calibri" w:eastAsia="PingFang SC"/>
          <w:b w:val="0"/>
          <w:i w:val="0"/>
          <w:color w:val="464F60"/>
          <w:sz w:val="22"/>
        </w:rPr>
        <w:t>这套服务是否成立，不应只看生成了多少条视频，而要看是否让客户形成更确定的增长判断、更稳定的内容产能，以及可复用的内容/账号资产。</w:t>
      </w:r>
    </w:p>
    <w:p>
      <w:r>
        <w:br w:type="page"/>
      </w:r>
    </w:p>
    <w:p>
      <w:pPr>
        <w:pStyle w:val="Heading1"/>
      </w:pPr>
      <w:r>
        <w:t>附录：视频素材与账号链接</w:t>
      </w:r>
    </w:p>
    <w:p>
      <w:r>
        <w:rPr>
          <w:b/>
        </w:rPr>
        <w:t>说明：</w:t>
      </w:r>
      <w:r>
        <w:t>以下链接来自公开搜索结果和公开页面解析；本地文件仅下载可公开访问的视频。“高度匹配”表示标题、播放量等关键证据与截图一致；“候选”表示文案或品类相近，但不能确认是截图原始爆款。</w:t>
      </w:r>
    </w:p>
    <w:tbl>
      <w:tblPr>
        <w:tblStyle w:val="TableGrid"/>
        <w:tblW w:type="auto" w:w="0"/>
        <w:tblLook w:firstColumn="1" w:firstRow="1" w:lastColumn="0" w:lastRow="0" w:noHBand="0" w:noVBand="1" w:val="04A0"/>
      </w:tblPr>
      <w:tblGrid>
        <w:gridCol w:w="1337"/>
        <w:gridCol w:w="1337"/>
        <w:gridCol w:w="1337"/>
        <w:gridCol w:w="1337"/>
        <w:gridCol w:w="1337"/>
        <w:gridCol w:w="1337"/>
        <w:gridCol w:w="1337"/>
      </w:tblGrid>
      <w:tr>
        <w:tc>
          <w:tcPr>
            <w:tcW w:type="dxa" w:w="1337"/>
          </w:tcPr>
          <w:p>
            <w:r/>
            <w:r>
              <w:rPr>
                <w:b/>
                <w:sz w:val="16"/>
              </w:rPr>
              <w:t>案例</w:t>
            </w:r>
          </w:p>
        </w:tc>
        <w:tc>
          <w:tcPr>
            <w:tcW w:type="dxa" w:w="1337"/>
          </w:tcPr>
          <w:p>
            <w:r/>
            <w:r>
              <w:rPr>
                <w:b/>
                <w:sz w:val="16"/>
              </w:rPr>
              <w:t>状态</w:t>
            </w:r>
          </w:p>
        </w:tc>
        <w:tc>
          <w:tcPr>
            <w:tcW w:type="dxa" w:w="1337"/>
          </w:tcPr>
          <w:p>
            <w:r/>
            <w:r>
              <w:rPr>
                <w:b/>
                <w:sz w:val="16"/>
              </w:rPr>
              <w:t>平台</w:t>
            </w:r>
          </w:p>
        </w:tc>
        <w:tc>
          <w:tcPr>
            <w:tcW w:type="dxa" w:w="1337"/>
          </w:tcPr>
          <w:p>
            <w:r/>
            <w:r>
              <w:rPr>
                <w:b/>
                <w:sz w:val="16"/>
              </w:rPr>
              <w:t>视频链接</w:t>
            </w:r>
          </w:p>
        </w:tc>
        <w:tc>
          <w:tcPr>
            <w:tcW w:type="dxa" w:w="1337"/>
          </w:tcPr>
          <w:p>
            <w:r/>
            <w:r>
              <w:rPr>
                <w:b/>
                <w:sz w:val="16"/>
              </w:rPr>
              <w:t>账号</w:t>
            </w:r>
          </w:p>
        </w:tc>
        <w:tc>
          <w:tcPr>
            <w:tcW w:type="dxa" w:w="1337"/>
          </w:tcPr>
          <w:p>
            <w:r/>
            <w:r>
              <w:rPr>
                <w:b/>
                <w:sz w:val="16"/>
              </w:rPr>
              <w:t>播放量/日期</w:t>
            </w:r>
          </w:p>
        </w:tc>
        <w:tc>
          <w:tcPr>
            <w:tcW w:type="dxa" w:w="1337"/>
          </w:tcPr>
          <w:p>
            <w:r/>
            <w:r>
              <w:rPr>
                <w:b/>
                <w:sz w:val="16"/>
              </w:rPr>
              <w:t>本地文件</w:t>
            </w:r>
          </w:p>
        </w:tc>
      </w:tr>
      <w:tr>
        <w:tc>
          <w:tcPr>
            <w:tcW w:type="dxa" w:w="1337"/>
          </w:tcPr>
          <w:p>
            <w:r/>
            <w:r>
              <w:rPr>
                <w:b w:val="0"/>
                <w:sz w:val="14"/>
              </w:rPr>
              <w:t>Case 01 爆款脚本变长效带货矩阵</w:t>
            </w:r>
          </w:p>
        </w:tc>
        <w:tc>
          <w:tcPr>
            <w:tcW w:type="dxa" w:w="1337"/>
          </w:tcPr>
          <w:p>
            <w:r/>
            <w:r>
              <w:rPr>
                <w:b w:val="0"/>
                <w:sz w:val="14"/>
              </w:rPr>
              <w:t>高度匹配</w:t>
            </w:r>
          </w:p>
        </w:tc>
        <w:tc>
          <w:tcPr>
            <w:tcW w:type="dxa" w:w="1337"/>
          </w:tcPr>
          <w:p>
            <w:r/>
            <w:r>
              <w:rPr>
                <w:b w:val="0"/>
                <w:sz w:val="14"/>
              </w:rPr>
              <w:t>TikTok</w:t>
            </w:r>
          </w:p>
        </w:tc>
        <w:tc>
          <w:tcPr>
            <w:tcW w:type="dxa" w:w="1337"/>
          </w:tcPr>
          <w:p>
            <w:hyperlink r:id="rId22">
              <w:r>
                <w:rPr>
                  <w:color w:val="0563C1"/>
                  <w:u w:val="single"/>
                </w:rPr>
                <w:t>视频</w:t>
              </w:r>
            </w:hyperlink>
          </w:p>
        </w:tc>
        <w:tc>
          <w:tcPr>
            <w:tcW w:type="dxa" w:w="1337"/>
          </w:tcPr>
          <w:p>
            <w:hyperlink r:id="rId23">
              <w:r>
                <w:rPr>
                  <w:color w:val="0563C1"/>
                  <w:u w:val="single"/>
                </w:rPr>
                <w:t>cute.annie7</w:t>
              </w:r>
            </w:hyperlink>
          </w:p>
        </w:tc>
        <w:tc>
          <w:tcPr>
            <w:tcW w:type="dxa" w:w="1337"/>
          </w:tcPr>
          <w:p>
            <w:r/>
            <w:r>
              <w:rPr>
                <w:b w:val="0"/>
                <w:sz w:val="14"/>
              </w:rPr>
              <w:t>10500000 / 20250603</w:t>
            </w:r>
          </w:p>
        </w:tc>
        <w:tc>
          <w:tcPr>
            <w:tcW w:type="dxa" w:w="1337"/>
          </w:tcPr>
          <w:p>
            <w:r/>
            <w:r>
              <w:rPr>
                <w:b w:val="0"/>
                <w:sz w:val="12"/>
              </w:rPr>
              <w:t>videos/case01_7476795893955953710_7511755118816136478.mp4</w:t>
            </w:r>
          </w:p>
        </w:tc>
      </w:tr>
      <w:tr>
        <w:tc>
          <w:tcPr>
            <w:tcW w:type="dxa" w:w="1337"/>
          </w:tcPr>
          <w:p>
            <w:r/>
            <w:r>
              <w:rPr>
                <w:b w:val="0"/>
                <w:sz w:val="14"/>
              </w:rPr>
              <w:t>Case 01 候选补充</w:t>
            </w:r>
          </w:p>
        </w:tc>
        <w:tc>
          <w:tcPr>
            <w:tcW w:type="dxa" w:w="1337"/>
          </w:tcPr>
          <w:p>
            <w:r/>
            <w:r>
              <w:rPr>
                <w:b w:val="0"/>
                <w:sz w:val="14"/>
              </w:rPr>
              <w:t>低匹配候选</w:t>
            </w:r>
          </w:p>
        </w:tc>
        <w:tc>
          <w:tcPr>
            <w:tcW w:type="dxa" w:w="1337"/>
          </w:tcPr>
          <w:p>
            <w:r/>
            <w:r>
              <w:rPr>
                <w:b w:val="0"/>
                <w:sz w:val="14"/>
              </w:rPr>
              <w:t>TikTok</w:t>
            </w:r>
          </w:p>
        </w:tc>
        <w:tc>
          <w:tcPr>
            <w:tcW w:type="dxa" w:w="1337"/>
          </w:tcPr>
          <w:p>
            <w:hyperlink r:id="rId24">
              <w:r>
                <w:rPr>
                  <w:color w:val="0563C1"/>
                  <w:u w:val="single"/>
                </w:rPr>
                <w:t>视频</w:t>
              </w:r>
            </w:hyperlink>
          </w:p>
        </w:tc>
        <w:tc>
          <w:tcPr>
            <w:tcW w:type="dxa" w:w="1337"/>
          </w:tcPr>
          <w:p>
            <w:hyperlink r:id="rId25">
              <w:r>
                <w:rPr>
                  <w:color w:val="0563C1"/>
                  <w:u w:val="single"/>
                </w:rPr>
                <w:t>whipdem_98</w:t>
              </w:r>
            </w:hyperlink>
          </w:p>
        </w:tc>
        <w:tc>
          <w:tcPr>
            <w:tcW w:type="dxa" w:w="1337"/>
          </w:tcPr>
          <w:p>
            <w:r/>
            <w:r>
              <w:rPr>
                <w:b w:val="0"/>
                <w:sz w:val="14"/>
              </w:rPr>
              <w:t>2445 / 20250521</w:t>
            </w:r>
          </w:p>
        </w:tc>
        <w:tc>
          <w:tcPr>
            <w:tcW w:type="dxa" w:w="1337"/>
          </w:tcPr>
          <w:p>
            <w:r/>
            <w:r>
              <w:rPr>
                <w:b w:val="0"/>
                <w:sz w:val="12"/>
              </w:rPr>
              <w:t>videos/case01_alt_7369825961678717994_7506924558083968298.mp4</w:t>
            </w:r>
          </w:p>
        </w:tc>
      </w:tr>
      <w:tr>
        <w:tc>
          <w:tcPr>
            <w:tcW w:type="dxa" w:w="1337"/>
          </w:tcPr>
          <w:p>
            <w:r/>
            <w:r>
              <w:rPr>
                <w:b w:val="0"/>
                <w:sz w:val="14"/>
              </w:rPr>
              <w:t>Case 02 老爆品二次引爆</w:t>
            </w:r>
          </w:p>
        </w:tc>
        <w:tc>
          <w:tcPr>
            <w:tcW w:type="dxa" w:w="1337"/>
          </w:tcPr>
          <w:p>
            <w:r/>
            <w:r>
              <w:rPr>
                <w:b w:val="0"/>
                <w:sz w:val="14"/>
              </w:rPr>
              <w:t>候选</w:t>
            </w:r>
          </w:p>
        </w:tc>
        <w:tc>
          <w:tcPr>
            <w:tcW w:type="dxa" w:w="1337"/>
          </w:tcPr>
          <w:p>
            <w:r/>
            <w:r>
              <w:rPr>
                <w:b w:val="0"/>
                <w:sz w:val="14"/>
              </w:rPr>
              <w:t>TikTok</w:t>
            </w:r>
          </w:p>
        </w:tc>
        <w:tc>
          <w:tcPr>
            <w:tcW w:type="dxa" w:w="1337"/>
          </w:tcPr>
          <w:p>
            <w:hyperlink r:id="rId26">
              <w:r>
                <w:rPr>
                  <w:color w:val="0563C1"/>
                  <w:u w:val="single"/>
                </w:rPr>
                <w:t>视频</w:t>
              </w:r>
            </w:hyperlink>
          </w:p>
        </w:tc>
        <w:tc>
          <w:tcPr>
            <w:tcW w:type="dxa" w:w="1337"/>
          </w:tcPr>
          <w:p>
            <w:hyperlink r:id="rId27">
              <w:r>
                <w:rPr>
                  <w:color w:val="0563C1"/>
                  <w:u w:val="single"/>
                </w:rPr>
                <w:t>poppy.natalie</w:t>
              </w:r>
            </w:hyperlink>
          </w:p>
        </w:tc>
        <w:tc>
          <w:tcPr>
            <w:tcW w:type="dxa" w:w="1337"/>
          </w:tcPr>
          <w:p>
            <w:r/>
            <w:r>
              <w:rPr>
                <w:b w:val="0"/>
                <w:sz w:val="14"/>
              </w:rPr>
              <w:t>655 / 20260610</w:t>
            </w:r>
          </w:p>
        </w:tc>
        <w:tc>
          <w:tcPr>
            <w:tcW w:type="dxa" w:w="1337"/>
          </w:tcPr>
          <w:p>
            <w:r/>
            <w:r>
              <w:rPr>
                <w:b w:val="0"/>
                <w:sz w:val="12"/>
              </w:rPr>
              <w:t>videos/case02_7593971599881241655_7649595041517735198.mp4</w:t>
            </w:r>
          </w:p>
        </w:tc>
      </w:tr>
      <w:tr>
        <w:tc>
          <w:tcPr>
            <w:tcW w:type="dxa" w:w="1337"/>
          </w:tcPr>
          <w:p>
            <w:r/>
            <w:r>
              <w:rPr>
                <w:b w:val="0"/>
                <w:sz w:val="14"/>
              </w:rPr>
              <w:t>Case 02 老爆品二次引爆候选补充</w:t>
            </w:r>
          </w:p>
        </w:tc>
        <w:tc>
          <w:tcPr>
            <w:tcW w:type="dxa" w:w="1337"/>
          </w:tcPr>
          <w:p>
            <w:r/>
            <w:r>
              <w:rPr>
                <w:b w:val="0"/>
                <w:sz w:val="14"/>
              </w:rPr>
              <w:t>候选</w:t>
            </w:r>
          </w:p>
        </w:tc>
        <w:tc>
          <w:tcPr>
            <w:tcW w:type="dxa" w:w="1337"/>
          </w:tcPr>
          <w:p>
            <w:r/>
            <w:r>
              <w:rPr>
                <w:b w:val="0"/>
                <w:sz w:val="14"/>
              </w:rPr>
              <w:t>TikTok</w:t>
            </w:r>
          </w:p>
        </w:tc>
        <w:tc>
          <w:tcPr>
            <w:tcW w:type="dxa" w:w="1337"/>
          </w:tcPr>
          <w:p>
            <w:hyperlink r:id="rId28">
              <w:r>
                <w:rPr>
                  <w:color w:val="0563C1"/>
                  <w:u w:val="single"/>
                </w:rPr>
                <w:t>视频</w:t>
              </w:r>
            </w:hyperlink>
          </w:p>
        </w:tc>
        <w:tc>
          <w:tcPr>
            <w:tcW w:type="dxa" w:w="1337"/>
          </w:tcPr>
          <w:p>
            <w:hyperlink r:id="rId27">
              <w:r>
                <w:rPr>
                  <w:color w:val="0563C1"/>
                  <w:u w:val="single"/>
                </w:rPr>
                <w:t>poppy.natalie</w:t>
              </w:r>
            </w:hyperlink>
          </w:p>
        </w:tc>
        <w:tc>
          <w:tcPr>
            <w:tcW w:type="dxa" w:w="1337"/>
          </w:tcPr>
          <w:p>
            <w:r/>
            <w:r>
              <w:rPr>
                <w:b w:val="0"/>
                <w:sz w:val="14"/>
              </w:rPr>
              <w:t>617 / 20260610</w:t>
            </w:r>
          </w:p>
        </w:tc>
        <w:tc>
          <w:tcPr>
            <w:tcW w:type="dxa" w:w="1337"/>
          </w:tcPr>
          <w:p>
            <w:r/>
            <w:r>
              <w:rPr>
                <w:b w:val="0"/>
                <w:sz w:val="12"/>
              </w:rPr>
              <w:t>videos/case02_alt_7593971599881241655_7649702112045124895.mp4</w:t>
            </w:r>
          </w:p>
        </w:tc>
      </w:tr>
      <w:tr>
        <w:tc>
          <w:tcPr>
            <w:tcW w:type="dxa" w:w="1337"/>
          </w:tcPr>
          <w:p>
            <w:r/>
            <w:r>
              <w:rPr>
                <w:b w:val="0"/>
                <w:sz w:val="14"/>
              </w:rPr>
              <w:t>Case 03 热点语境融合/冷启动</w:t>
            </w:r>
          </w:p>
        </w:tc>
        <w:tc>
          <w:tcPr>
            <w:tcW w:type="dxa" w:w="1337"/>
          </w:tcPr>
          <w:p>
            <w:r/>
            <w:r>
              <w:rPr>
                <w:b w:val="0"/>
                <w:sz w:val="14"/>
              </w:rPr>
              <w:t>候选</w:t>
            </w:r>
          </w:p>
        </w:tc>
        <w:tc>
          <w:tcPr>
            <w:tcW w:type="dxa" w:w="1337"/>
          </w:tcPr>
          <w:p>
            <w:r/>
            <w:r>
              <w:rPr>
                <w:b w:val="0"/>
                <w:sz w:val="14"/>
              </w:rPr>
              <w:t>TikTok</w:t>
            </w:r>
          </w:p>
        </w:tc>
        <w:tc>
          <w:tcPr>
            <w:tcW w:type="dxa" w:w="1337"/>
          </w:tcPr>
          <w:p>
            <w:hyperlink r:id="rId29">
              <w:r>
                <w:rPr>
                  <w:color w:val="0563C1"/>
                  <w:u w:val="single"/>
                </w:rPr>
                <w:t>视频</w:t>
              </w:r>
            </w:hyperlink>
          </w:p>
        </w:tc>
        <w:tc>
          <w:tcPr>
            <w:tcW w:type="dxa" w:w="1337"/>
          </w:tcPr>
          <w:p>
            <w:hyperlink r:id="rId30">
              <w:r>
                <w:rPr>
                  <w:color w:val="0563C1"/>
                  <w:u w:val="single"/>
                </w:rPr>
                <w:t>themiles4</w:t>
              </w:r>
            </w:hyperlink>
          </w:p>
        </w:tc>
        <w:tc>
          <w:tcPr>
            <w:tcW w:type="dxa" w:w="1337"/>
          </w:tcPr>
          <w:p>
            <w:r/>
            <w:r>
              <w:rPr>
                <w:b w:val="0"/>
                <w:sz w:val="14"/>
              </w:rPr>
              <w:t>4815 / 20251110</w:t>
            </w:r>
          </w:p>
        </w:tc>
        <w:tc>
          <w:tcPr>
            <w:tcW w:type="dxa" w:w="1337"/>
          </w:tcPr>
          <w:p>
            <w:r/>
            <w:r>
              <w:rPr>
                <w:b w:val="0"/>
                <w:sz w:val="12"/>
              </w:rPr>
              <w:t>videos/case03_7260343348853179438_7570950203830848823.mp4</w:t>
            </w:r>
          </w:p>
        </w:tc>
      </w:tr>
      <w:tr>
        <w:tc>
          <w:tcPr>
            <w:tcW w:type="dxa" w:w="1337"/>
          </w:tcPr>
          <w:p>
            <w:r/>
            <w:r>
              <w:rPr>
                <w:b w:val="0"/>
                <w:sz w:val="14"/>
              </w:rPr>
              <w:t>Case 03 热点语境融合候选补充</w:t>
            </w:r>
          </w:p>
        </w:tc>
        <w:tc>
          <w:tcPr>
            <w:tcW w:type="dxa" w:w="1337"/>
          </w:tcPr>
          <w:p>
            <w:r/>
            <w:r>
              <w:rPr>
                <w:b w:val="0"/>
                <w:sz w:val="14"/>
              </w:rPr>
              <w:t>候选</w:t>
            </w:r>
          </w:p>
        </w:tc>
        <w:tc>
          <w:tcPr>
            <w:tcW w:type="dxa" w:w="1337"/>
          </w:tcPr>
          <w:p>
            <w:r/>
            <w:r>
              <w:rPr>
                <w:b w:val="0"/>
                <w:sz w:val="14"/>
              </w:rPr>
              <w:t>TikTok</w:t>
            </w:r>
          </w:p>
        </w:tc>
        <w:tc>
          <w:tcPr>
            <w:tcW w:type="dxa" w:w="1337"/>
          </w:tcPr>
          <w:p>
            <w:hyperlink r:id="rId31">
              <w:r>
                <w:rPr>
                  <w:color w:val="0563C1"/>
                  <w:u w:val="single"/>
                </w:rPr>
                <w:t>视频</w:t>
              </w:r>
            </w:hyperlink>
          </w:p>
        </w:tc>
        <w:tc>
          <w:tcPr>
            <w:tcW w:type="dxa" w:w="1337"/>
          </w:tcPr>
          <w:p>
            <w:hyperlink r:id="rId32">
              <w:r>
                <w:rPr>
                  <w:color w:val="0563C1"/>
                  <w:u w:val="single"/>
                </w:rPr>
                <w:t>paigarl</w:t>
              </w:r>
            </w:hyperlink>
          </w:p>
        </w:tc>
        <w:tc>
          <w:tcPr>
            <w:tcW w:type="dxa" w:w="1337"/>
          </w:tcPr>
          <w:p>
            <w:r/>
            <w:r>
              <w:rPr>
                <w:b w:val="0"/>
                <w:sz w:val="14"/>
              </w:rPr>
              <w:t>32200 / 20251106</w:t>
            </w:r>
          </w:p>
        </w:tc>
        <w:tc>
          <w:tcPr>
            <w:tcW w:type="dxa" w:w="1337"/>
          </w:tcPr>
          <w:p>
            <w:r/>
            <w:r>
              <w:rPr>
                <w:b w:val="0"/>
                <w:sz w:val="12"/>
              </w:rPr>
              <w:t>videos/case03_alt_7442210314480010286_7569487071593696567.mp4</w:t>
            </w:r>
          </w:p>
        </w:tc>
      </w:tr>
      <w:tr>
        <w:tc>
          <w:tcPr>
            <w:tcW w:type="dxa" w:w="1337"/>
          </w:tcPr>
          <w:p>
            <w:r/>
            <w:r>
              <w:rPr>
                <w:b w:val="0"/>
                <w:sz w:val="14"/>
              </w:rPr>
              <w:t>Case 04A/04B 心智线索/场景测试候选</w:t>
            </w:r>
          </w:p>
        </w:tc>
        <w:tc>
          <w:tcPr>
            <w:tcW w:type="dxa" w:w="1337"/>
          </w:tcPr>
          <w:p>
            <w:r/>
            <w:r>
              <w:rPr>
                <w:b w:val="0"/>
                <w:sz w:val="14"/>
              </w:rPr>
              <w:t>品类候选</w:t>
            </w:r>
          </w:p>
        </w:tc>
        <w:tc>
          <w:tcPr>
            <w:tcW w:type="dxa" w:w="1337"/>
          </w:tcPr>
          <w:p>
            <w:r/>
            <w:r>
              <w:rPr>
                <w:b w:val="0"/>
                <w:sz w:val="14"/>
              </w:rPr>
              <w:t>Facebook</w:t>
            </w:r>
          </w:p>
        </w:tc>
        <w:tc>
          <w:tcPr>
            <w:tcW w:type="dxa" w:w="1337"/>
          </w:tcPr>
          <w:p>
            <w:hyperlink r:id="rId33">
              <w:r>
                <w:rPr>
                  <w:color w:val="0563C1"/>
                  <w:u w:val="single"/>
                </w:rPr>
                <w:t>视频</w:t>
              </w:r>
            </w:hyperlink>
          </w:p>
        </w:tc>
        <w:tc>
          <w:tcPr>
            <w:tcW w:type="dxa" w:w="1337"/>
          </w:tcPr>
          <w:p>
            <w:hyperlink r:id="rId34">
              <w:r>
                <w:rPr>
                  <w:color w:val="0563C1"/>
                  <w:u w:val="single"/>
                </w:rPr>
                <w:t>Breescape</w:t>
              </w:r>
            </w:hyperlink>
          </w:p>
        </w:tc>
        <w:tc>
          <w:tcPr>
            <w:tcW w:type="dxa" w:w="1337"/>
          </w:tcPr>
          <w:p>
            <w:r/>
            <w:r>
              <w:rPr>
                <w:b w:val="0"/>
                <w:sz w:val="14"/>
              </w:rPr>
              <w:t>354872 / 20260506</w:t>
            </w:r>
          </w:p>
        </w:tc>
        <w:tc>
          <w:tcPr>
            <w:tcW w:type="dxa" w:w="1337"/>
          </w:tcPr>
          <w:p>
            <w:r/>
            <w:r>
              <w:rPr>
                <w:b w:val="0"/>
                <w:sz w:val="12"/>
              </w:rPr>
              <w:t>videos/case04_61567841447132_2071023703480007.mp4</w:t>
            </w:r>
          </w:p>
        </w:tc>
      </w:tr>
      <w:tr>
        <w:tc>
          <w:tcPr>
            <w:tcW w:type="dxa" w:w="1337"/>
          </w:tcPr>
          <w:p>
            <w:r/>
            <w:r>
              <w:rPr>
                <w:b w:val="0"/>
                <w:sz w:val="14"/>
              </w:rPr>
              <w:t>Case 05 AI IP 账号矩阵候选</w:t>
            </w:r>
          </w:p>
        </w:tc>
        <w:tc>
          <w:tcPr>
            <w:tcW w:type="dxa" w:w="1337"/>
          </w:tcPr>
          <w:p>
            <w:r/>
            <w:r>
              <w:rPr>
                <w:b w:val="0"/>
                <w:sz w:val="14"/>
              </w:rPr>
              <w:t>候选</w:t>
            </w:r>
          </w:p>
        </w:tc>
        <w:tc>
          <w:tcPr>
            <w:tcW w:type="dxa" w:w="1337"/>
          </w:tcPr>
          <w:p>
            <w:r/>
            <w:r>
              <w:rPr>
                <w:b w:val="0"/>
                <w:sz w:val="14"/>
              </w:rPr>
              <w:t>TikTok</w:t>
            </w:r>
          </w:p>
        </w:tc>
        <w:tc>
          <w:tcPr>
            <w:tcW w:type="dxa" w:w="1337"/>
          </w:tcPr>
          <w:p>
            <w:hyperlink r:id="rId35">
              <w:r>
                <w:rPr>
                  <w:color w:val="0563C1"/>
                  <w:u w:val="single"/>
                </w:rPr>
                <w:t>视频</w:t>
              </w:r>
            </w:hyperlink>
          </w:p>
        </w:tc>
        <w:tc>
          <w:tcPr>
            <w:tcW w:type="dxa" w:w="1337"/>
          </w:tcPr>
          <w:p>
            <w:hyperlink r:id="rId36">
              <w:r>
                <w:rPr>
                  <w:color w:val="0563C1"/>
                  <w:u w:val="single"/>
                </w:rPr>
                <w:t>cats_vedious</w:t>
              </w:r>
            </w:hyperlink>
          </w:p>
        </w:tc>
        <w:tc>
          <w:tcPr>
            <w:tcW w:type="dxa" w:w="1337"/>
          </w:tcPr>
          <w:p>
            <w:r/>
            <w:r>
              <w:rPr>
                <w:b w:val="0"/>
                <w:sz w:val="14"/>
              </w:rPr>
              <w:t>6800000 / 20251012</w:t>
            </w:r>
          </w:p>
        </w:tc>
        <w:tc>
          <w:tcPr>
            <w:tcW w:type="dxa" w:w="1337"/>
          </w:tcPr>
          <w:p>
            <w:r/>
            <w:r>
              <w:rPr>
                <w:b w:val="0"/>
                <w:sz w:val="12"/>
              </w:rPr>
              <w:t>videos/case05_7505645507932865582_7560345668854762765.mp4</w:t>
            </w:r>
          </w:p>
        </w:tc>
      </w:tr>
      <w:tr>
        <w:tc>
          <w:tcPr>
            <w:tcW w:type="dxa" w:w="1337"/>
          </w:tcPr>
          <w:p>
            <w:r/>
            <w:r>
              <w:rPr>
                <w:b w:val="0"/>
                <w:sz w:val="14"/>
              </w:rPr>
              <w:t>Case 05 AI IP 账号矩阵候选补充</w:t>
            </w:r>
          </w:p>
        </w:tc>
        <w:tc>
          <w:tcPr>
            <w:tcW w:type="dxa" w:w="1337"/>
          </w:tcPr>
          <w:p>
            <w:r/>
            <w:r>
              <w:rPr>
                <w:b w:val="0"/>
                <w:sz w:val="14"/>
              </w:rPr>
              <w:t>候选</w:t>
            </w:r>
          </w:p>
        </w:tc>
        <w:tc>
          <w:tcPr>
            <w:tcW w:type="dxa" w:w="1337"/>
          </w:tcPr>
          <w:p>
            <w:r/>
            <w:r>
              <w:rPr>
                <w:b w:val="0"/>
                <w:sz w:val="14"/>
              </w:rPr>
              <w:t>TikTok</w:t>
            </w:r>
          </w:p>
        </w:tc>
        <w:tc>
          <w:tcPr>
            <w:tcW w:type="dxa" w:w="1337"/>
          </w:tcPr>
          <w:p>
            <w:hyperlink r:id="rId37">
              <w:r>
                <w:rPr>
                  <w:color w:val="0563C1"/>
                  <w:u w:val="single"/>
                </w:rPr>
                <w:t>视频</w:t>
              </w:r>
            </w:hyperlink>
          </w:p>
        </w:tc>
        <w:tc>
          <w:tcPr>
            <w:tcW w:type="dxa" w:w="1337"/>
          </w:tcPr>
          <w:p>
            <w:hyperlink r:id="rId38">
              <w:r>
                <w:rPr>
                  <w:color w:val="0563C1"/>
                  <w:u w:val="single"/>
                </w:rPr>
                <w:t>qi.li103</w:t>
              </w:r>
            </w:hyperlink>
          </w:p>
        </w:tc>
        <w:tc>
          <w:tcPr>
            <w:tcW w:type="dxa" w:w="1337"/>
          </w:tcPr>
          <w:p>
            <w:r/>
            <w:r>
              <w:rPr>
                <w:b w:val="0"/>
                <w:sz w:val="14"/>
              </w:rPr>
              <w:t>25600000 / 20260105</w:t>
            </w:r>
          </w:p>
        </w:tc>
        <w:tc>
          <w:tcPr>
            <w:tcW w:type="dxa" w:w="1337"/>
          </w:tcPr>
          <w:p>
            <w:r/>
            <w:r>
              <w:rPr>
                <w:b w:val="0"/>
                <w:sz w:val="12"/>
              </w:rPr>
              <w:t>videos/case05_alt_7578865732655662135_7591853859128069406.mp4</w:t>
            </w:r>
          </w:p>
        </w:tc>
      </w:tr>
      <w:tr>
        <w:tc>
          <w:tcPr>
            <w:tcW w:type="dxa" w:w="1337"/>
          </w:tcPr>
          <w:p>
            <w:r/>
            <w:r>
              <w:rPr>
                <w:b w:val="0"/>
                <w:sz w:val="14"/>
              </w:rPr>
              <w:t>Case 01 低匹配补充</w:t>
            </w:r>
          </w:p>
        </w:tc>
        <w:tc>
          <w:tcPr>
            <w:tcW w:type="dxa" w:w="1337"/>
          </w:tcPr>
          <w:p>
            <w:r/>
            <w:r>
              <w:rPr>
                <w:b w:val="0"/>
                <w:sz w:val="14"/>
              </w:rPr>
              <w:t>低匹配候选</w:t>
            </w:r>
          </w:p>
        </w:tc>
        <w:tc>
          <w:tcPr>
            <w:tcW w:type="dxa" w:w="1337"/>
          </w:tcPr>
          <w:p>
            <w:r/>
            <w:r>
              <w:rPr>
                <w:b w:val="0"/>
                <w:sz w:val="14"/>
              </w:rPr>
              <w:t>TikTok</w:t>
            </w:r>
          </w:p>
        </w:tc>
        <w:tc>
          <w:tcPr>
            <w:tcW w:type="dxa" w:w="1337"/>
          </w:tcPr>
          <w:p>
            <w:hyperlink r:id="rId39">
              <w:r>
                <w:rPr>
                  <w:color w:val="0563C1"/>
                  <w:u w:val="single"/>
                </w:rPr>
                <w:t>视频</w:t>
              </w:r>
            </w:hyperlink>
          </w:p>
        </w:tc>
        <w:tc>
          <w:tcPr>
            <w:tcW w:type="dxa" w:w="1337"/>
          </w:tcPr>
          <w:p>
            <w:hyperlink r:id="rId40">
              <w:r>
                <w:rPr>
                  <w:color w:val="0563C1"/>
                  <w:u w:val="single"/>
                </w:rPr>
                <w:t>gvetfgbe</w:t>
              </w:r>
            </w:hyperlink>
          </w:p>
        </w:tc>
        <w:tc>
          <w:tcPr>
            <w:tcW w:type="dxa" w:w="1337"/>
          </w:tcPr>
          <w:p>
            <w:r/>
            <w:r>
              <w:rPr>
                <w:b w:val="0"/>
                <w:sz w:val="14"/>
              </w:rPr>
              <w:t>148 / 20250618</w:t>
            </w:r>
          </w:p>
        </w:tc>
        <w:tc>
          <w:tcPr>
            <w:tcW w:type="dxa" w:w="1337"/>
          </w:tcPr>
          <w:p>
            <w:r/>
            <w:r>
              <w:rPr>
                <w:b w:val="0"/>
                <w:sz w:val="12"/>
              </w:rPr>
              <w:t>videos/case01_6646983291143766022_7517239165696707853.mp4</w:t>
            </w:r>
          </w:p>
        </w:tc>
      </w:tr>
    </w:tbl>
    <w:p/>
    <w:p>
      <w:pPr>
        <w:pStyle w:val="Heading2"/>
      </w:pPr>
      <w:r>
        <w:t>附录文件</w:t>
      </w:r>
    </w:p>
    <w:p>
      <w:r>
        <w:rPr>
          <w:b/>
        </w:rPr>
        <w:t>视频索引 CSV：</w:t>
      </w:r>
      <w:r>
        <w:t>video_research/video_index.csv</w:t>
      </w:r>
    </w:p>
    <w:p>
      <w:r>
        <w:rPr>
          <w:b/>
        </w:rPr>
        <w:t>账号索引 CSV：</w:t>
      </w:r>
      <w:r>
        <w:t>video_research/accounts.csv</w:t>
      </w:r>
    </w:p>
    <w:p>
      <w:r>
        <w:rPr>
          <w:b/>
        </w:rPr>
        <w:t>视频索引 Markdown：</w:t>
      </w:r>
      <w:r>
        <w:t>video_research/视频素材索引.md</w:t>
      </w:r>
    </w:p>
    <w:p>
      <w:r>
        <w:rPr>
          <w:b/>
        </w:rPr>
        <w:t>本地视频目录：</w:t>
      </w:r>
      <w:r>
        <w:t>videos/</w:t>
      </w:r>
    </w:p>
    <w:sectPr w:rsidR="00FC693F" w:rsidRPr="0006063C" w:rsidSect="00034616">
      <w:headerReference w:type="default" r:id="rId9"/>
      <w:footerReference w:type="default" r:id="rId10"/>
      <w:pgSz w:w="12240" w:h="15840"/>
      <w:pgMar w:top="1440" w:right="1440" w:bottom="1440" w:left="1440" w:header="708" w:footer="708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10="urn:schemas-microsoft-com:office:word" xmlns:w14="http://schemas.microsoft.com/office/word/2010/wordml" xmlns:w="http://schemas.openxmlformats.org/wordprocessingml/2006/main" xmlns:wne="http://schemas.microsoft.com/office/word/2006/wordml" xmlns:wp14="http://schemas.microsoft.com/office/word/2010/wordprocessingDrawing" xmlns:wp="http://schemas.openxmlformats.org/drawingml/2006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p14">
  <w:p>
    <w:pPr>
      <w:pStyle w:val="Footer"/>
      <w:spacing w:after="0"/>
      <w:jc w:val="center"/>
    </w:pPr>
    <w:r/>
    <w:r>
      <w:rPr>
        <w:rFonts w:ascii="Calibri" w:hAnsi="Calibri" w:eastAsia="PingFang SC"/>
        <w:color w:val="636F84"/>
        <w:sz w:val="17"/>
      </w:rPr>
      <w:t>基于 2026-07-02 会议截图整理</w:t>
    </w:r>
  </w:p>
</w:ftr>
</file>

<file path=word/header1.xml><?xml version="1.0" encoding="utf-8"?>
<w:hdr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10="urn:schemas-microsoft-com:office:word" xmlns:w14="http://schemas.microsoft.com/office/word/2010/wordml" xmlns:w="http://schemas.openxmlformats.org/wordprocessingml/2006/main" xmlns:wne="http://schemas.microsoft.com/office/word/2006/wordml" xmlns:wp14="http://schemas.microsoft.com/office/word/2010/wordprocessingDrawing" xmlns:wp="http://schemas.openxmlformats.org/drawingml/2006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p14">
  <w:p>
    <w:pPr>
      <w:pStyle w:val="Header"/>
      <w:spacing w:after="0"/>
      <w:jc w:val="right"/>
    </w:pPr>
    <w:r/>
    <w:r>
      <w:rPr>
        <w:rFonts w:ascii="Calibri" w:hAnsi="Calibri" w:eastAsia="PingFang SC"/>
        <w:color w:val="636F84"/>
        <w:sz w:val="17"/>
      </w:rPr>
      <w:t>AI 内容增长系统整理文档</w: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  <w:pPr>
      <w:spacing w:after="120" w:line="264" w:lineRule="auto"/>
    </w:pPr>
    <w:rPr>
      <w:rFonts w:ascii="Calibri" w:hAnsi="Calibri" w:eastAsia="PingFang SC"/>
      <w:sz w:val="22"/>
    </w:rPr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320" w:after="160"/>
      <w:outlineLvl w:val="0"/>
    </w:pPr>
    <w:rPr>
      <w:rFonts w:asciiTheme="majorHAnsi" w:eastAsiaTheme="majorEastAsia" w:hAnsiTheme="majorHAnsi" w:cstheme="majorBidi" w:ascii="Calibri" w:hAnsi="Calibri" w:eastAsia="PingFang SC"/>
      <w:b/>
      <w:bCs/>
      <w:color w:val="2E74B5"/>
      <w:sz w:val="3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40" w:after="120"/>
      <w:outlineLvl w:val="1"/>
    </w:pPr>
    <w:rPr>
      <w:rFonts w:asciiTheme="majorHAnsi" w:eastAsiaTheme="majorEastAsia" w:hAnsiTheme="majorHAnsi" w:cstheme="majorBidi" w:ascii="Calibri" w:hAnsi="Calibri" w:eastAsia="PingFang SC"/>
      <w:b/>
      <w:bCs/>
      <w:color w:val="2E74B5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 w:ascii="Calibri" w:hAnsi="Calibri" w:eastAsia="PingFang SC"/>
      <w:b/>
      <w:bCs/>
      <w:color w:val="1F4D78"/>
      <w:sz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header" Target="header1.xml"/><Relationship Id="rId10" Type="http://schemas.openxmlformats.org/officeDocument/2006/relationships/footer" Target="footer1.xml"/><Relationship Id="rId11" Type="http://schemas.openxmlformats.org/officeDocument/2006/relationships/image" Target="media/image1.png"/><Relationship Id="rId12" Type="http://schemas.openxmlformats.org/officeDocument/2006/relationships/image" Target="media/image2.png"/><Relationship Id="rId13" Type="http://schemas.openxmlformats.org/officeDocument/2006/relationships/image" Target="media/image3.png"/><Relationship Id="rId14" Type="http://schemas.openxmlformats.org/officeDocument/2006/relationships/image" Target="media/image4.png"/><Relationship Id="rId15" Type="http://schemas.openxmlformats.org/officeDocument/2006/relationships/image" Target="media/image5.png"/><Relationship Id="rId16" Type="http://schemas.openxmlformats.org/officeDocument/2006/relationships/image" Target="media/image6.png"/><Relationship Id="rId17" Type="http://schemas.openxmlformats.org/officeDocument/2006/relationships/image" Target="media/image7.png"/><Relationship Id="rId18" Type="http://schemas.openxmlformats.org/officeDocument/2006/relationships/image" Target="media/image8.png"/><Relationship Id="rId19" Type="http://schemas.openxmlformats.org/officeDocument/2006/relationships/image" Target="media/image9.png"/><Relationship Id="rId20" Type="http://schemas.openxmlformats.org/officeDocument/2006/relationships/image" Target="media/image10.png"/><Relationship Id="rId21" Type="http://schemas.openxmlformats.org/officeDocument/2006/relationships/image" Target="media/image11.png"/><Relationship Id="rId22" Type="http://schemas.openxmlformats.org/officeDocument/2006/relationships/hyperlink" Target="https://www.tiktok.com/@cute.annie7/video/7511755118816136478" TargetMode="External"/><Relationship Id="rId23" Type="http://schemas.openxmlformats.org/officeDocument/2006/relationships/hyperlink" Target="https://www.tiktok.com/@cute.annie7" TargetMode="External"/><Relationship Id="rId24" Type="http://schemas.openxmlformats.org/officeDocument/2006/relationships/hyperlink" Target="https://www.tiktok.com/@whipdem_98/video/7506924558083968298" TargetMode="External"/><Relationship Id="rId25" Type="http://schemas.openxmlformats.org/officeDocument/2006/relationships/hyperlink" Target="https://www.tiktok.com/@whipdem_98" TargetMode="External"/><Relationship Id="rId26" Type="http://schemas.openxmlformats.org/officeDocument/2006/relationships/hyperlink" Target="https://www.tiktok.com/@poppy.natalie/video/7649595041517735198" TargetMode="External"/><Relationship Id="rId27" Type="http://schemas.openxmlformats.org/officeDocument/2006/relationships/hyperlink" Target="https://www.tiktok.com/@poppy.natalie" TargetMode="External"/><Relationship Id="rId28" Type="http://schemas.openxmlformats.org/officeDocument/2006/relationships/hyperlink" Target="https://www.tiktok.com/@poppy.natalie/video/7649702112045124895" TargetMode="External"/><Relationship Id="rId29" Type="http://schemas.openxmlformats.org/officeDocument/2006/relationships/hyperlink" Target="https://www.tiktok.com/@themiles4/video/7570950203830848823" TargetMode="External"/><Relationship Id="rId30" Type="http://schemas.openxmlformats.org/officeDocument/2006/relationships/hyperlink" Target="https://www.tiktok.com/@themiles4" TargetMode="External"/><Relationship Id="rId31" Type="http://schemas.openxmlformats.org/officeDocument/2006/relationships/hyperlink" Target="https://www.tiktok.com/@paigarl/video/7569487071593696567" TargetMode="External"/><Relationship Id="rId32" Type="http://schemas.openxmlformats.org/officeDocument/2006/relationships/hyperlink" Target="https://www.tiktok.com/@paigarl" TargetMode="External"/><Relationship Id="rId33" Type="http://schemas.openxmlformats.org/officeDocument/2006/relationships/hyperlink" Target="https://www.facebook.com/breescapehome/videos/sleep-cool-live-better/2071023703480007/" TargetMode="External"/><Relationship Id="rId34" Type="http://schemas.openxmlformats.org/officeDocument/2006/relationships/hyperlink" Target="https://www.facebook.com/breescapehome" TargetMode="External"/><Relationship Id="rId35" Type="http://schemas.openxmlformats.org/officeDocument/2006/relationships/hyperlink" Target="https://www.tiktok.com/@cats_vedious/video/7560345668854762765" TargetMode="External"/><Relationship Id="rId36" Type="http://schemas.openxmlformats.org/officeDocument/2006/relationships/hyperlink" Target="https://www.tiktok.com/@cats_vedious" TargetMode="External"/><Relationship Id="rId37" Type="http://schemas.openxmlformats.org/officeDocument/2006/relationships/hyperlink" Target="https://www.tiktok.com/@qi.li103/video/7591853859128069406" TargetMode="External"/><Relationship Id="rId38" Type="http://schemas.openxmlformats.org/officeDocument/2006/relationships/hyperlink" Target="https://www.tiktok.com/@qi.li103" TargetMode="External"/><Relationship Id="rId39" Type="http://schemas.openxmlformats.org/officeDocument/2006/relationships/hyperlink" Target="https://www.tiktok.com/@gvetfgbe/video/7517239165696707853" TargetMode="External"/><Relationship Id="rId40" Type="http://schemas.openxmlformats.org/officeDocument/2006/relationships/hyperlink" Target="https://www.tiktok.com/@gvetfgbe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AI 内容增长系统与专项增长产品整理文档</dc:title>
  <dc:subject>基于 2026-07-02 会议截图整理</dc:subject>
  <dc:creator>Codex</dc:creator>
  <cp:keywords/>
  <dc:description>Generated from provided screenshots; includes cropped slide images.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